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19C035" w14:textId="18E54476" w:rsidR="00A31DDC" w:rsidRPr="00F068C8" w:rsidRDefault="00290CCC" w:rsidP="00BC4103">
      <w:pPr>
        <w:pStyle w:val="Heading1"/>
        <w:jc w:val="center"/>
      </w:pPr>
      <w:r w:rsidRPr="00F068C8">
        <w:t xml:space="preserve">NGN GD3 Webinar </w:t>
      </w:r>
      <w:r w:rsidR="00A31DDC" w:rsidRPr="00F068C8">
        <w:t>– 29</w:t>
      </w:r>
      <w:r w:rsidR="00A31DDC" w:rsidRPr="00F068C8">
        <w:rPr>
          <w:vertAlign w:val="superscript"/>
        </w:rPr>
        <w:t>th</w:t>
      </w:r>
      <w:r w:rsidR="00A31DDC" w:rsidRPr="00F068C8">
        <w:t xml:space="preserve"> January 2025</w:t>
      </w:r>
    </w:p>
    <w:tbl>
      <w:tblPr>
        <w:tblStyle w:val="TableGrid"/>
        <w:tblW w:w="9465" w:type="dxa"/>
        <w:tblLayout w:type="fixed"/>
        <w:tblLook w:val="06A0" w:firstRow="1" w:lastRow="0" w:firstColumn="1" w:lastColumn="0" w:noHBand="1" w:noVBand="1"/>
      </w:tblPr>
      <w:tblGrid>
        <w:gridCol w:w="3675"/>
        <w:gridCol w:w="5790"/>
      </w:tblGrid>
      <w:tr w:rsidR="00F068C8" w:rsidRPr="00F068C8" w14:paraId="1D13D94B" w14:textId="77777777" w:rsidTr="003B7A46">
        <w:trPr>
          <w:trHeight w:val="300"/>
        </w:trPr>
        <w:tc>
          <w:tcPr>
            <w:tcW w:w="3675" w:type="dxa"/>
            <w:shd w:val="clear" w:color="auto" w:fill="DC16A8"/>
          </w:tcPr>
          <w:p w14:paraId="4CE341CA" w14:textId="6CB1828B" w:rsidR="25841B43" w:rsidRPr="00F068C8" w:rsidRDefault="00A31DDC" w:rsidP="00A31DDC">
            <w:pPr>
              <w:jc w:val="center"/>
              <w:rPr>
                <w:rFonts w:ascii="Calibri" w:hAnsi="Calibri" w:cs="Calibri"/>
                <w:b/>
                <w:bCs/>
                <w:color w:val="FFFFFF" w:themeColor="background1"/>
                <w:sz w:val="20"/>
                <w:szCs w:val="20"/>
              </w:rPr>
            </w:pPr>
            <w:r w:rsidRPr="00F068C8">
              <w:rPr>
                <w:rFonts w:ascii="Calibri" w:hAnsi="Calibri" w:cs="Calibri"/>
                <w:b/>
                <w:bCs/>
                <w:color w:val="FFFFFF" w:themeColor="background1"/>
                <w:sz w:val="20"/>
                <w:szCs w:val="20"/>
              </w:rPr>
              <w:t>Stakeholder Questions</w:t>
            </w:r>
          </w:p>
        </w:tc>
        <w:tc>
          <w:tcPr>
            <w:tcW w:w="5790" w:type="dxa"/>
            <w:shd w:val="clear" w:color="auto" w:fill="DC16A8"/>
          </w:tcPr>
          <w:p w14:paraId="43FA4ED0" w14:textId="3D2D6D17" w:rsidR="25841B43" w:rsidRPr="00F068C8" w:rsidRDefault="00A31DDC" w:rsidP="00A31DDC">
            <w:pPr>
              <w:jc w:val="center"/>
              <w:rPr>
                <w:rFonts w:ascii="Calibri" w:hAnsi="Calibri" w:cs="Calibri"/>
                <w:b/>
                <w:bCs/>
                <w:color w:val="FFFFFF" w:themeColor="background1"/>
                <w:sz w:val="20"/>
                <w:szCs w:val="20"/>
              </w:rPr>
            </w:pPr>
            <w:r w:rsidRPr="00F068C8">
              <w:rPr>
                <w:rFonts w:ascii="Calibri" w:hAnsi="Calibri" w:cs="Calibri"/>
                <w:b/>
                <w:bCs/>
                <w:color w:val="FFFFFF" w:themeColor="background1"/>
                <w:sz w:val="20"/>
                <w:szCs w:val="20"/>
              </w:rPr>
              <w:t>NGN Responses</w:t>
            </w:r>
          </w:p>
        </w:tc>
      </w:tr>
      <w:tr w:rsidR="00F068C8" w:rsidRPr="00F068C8" w14:paraId="73979D6E" w14:textId="77777777" w:rsidTr="00F94CF2">
        <w:trPr>
          <w:trHeight w:val="300"/>
        </w:trPr>
        <w:tc>
          <w:tcPr>
            <w:tcW w:w="9465" w:type="dxa"/>
            <w:gridSpan w:val="2"/>
            <w:shd w:val="clear" w:color="auto" w:fill="002060"/>
          </w:tcPr>
          <w:p w14:paraId="3F7B2DC4" w14:textId="5912988A" w:rsidR="00245642" w:rsidRPr="00F068C8" w:rsidRDefault="00F355FA" w:rsidP="25841B43">
            <w:pPr>
              <w:rPr>
                <w:rFonts w:ascii="Calibri" w:hAnsi="Calibri" w:cs="Calibri"/>
                <w:b/>
                <w:bCs/>
                <w:color w:val="002060"/>
                <w:sz w:val="20"/>
                <w:szCs w:val="20"/>
              </w:rPr>
            </w:pPr>
            <w:r w:rsidRPr="00F94CF2">
              <w:rPr>
                <w:rFonts w:ascii="Calibri" w:hAnsi="Calibri" w:cs="Calibri"/>
                <w:b/>
                <w:bCs/>
                <w:color w:val="FFFFFF" w:themeColor="background1"/>
                <w:sz w:val="20"/>
                <w:szCs w:val="20"/>
              </w:rPr>
              <w:t>Supply Chain</w:t>
            </w:r>
          </w:p>
        </w:tc>
      </w:tr>
      <w:tr w:rsidR="00F068C8" w:rsidRPr="00F068C8" w14:paraId="70B6808F" w14:textId="77777777" w:rsidTr="3AF2DC9A">
        <w:trPr>
          <w:trHeight w:val="300"/>
        </w:trPr>
        <w:tc>
          <w:tcPr>
            <w:tcW w:w="3675" w:type="dxa"/>
          </w:tcPr>
          <w:p w14:paraId="0F358CE8" w14:textId="01ADB8DF" w:rsidR="25841B43" w:rsidRPr="00F068C8" w:rsidRDefault="006E164D" w:rsidP="25841B43">
            <w:pPr>
              <w:rPr>
                <w:rFonts w:ascii="Calibri" w:hAnsi="Calibri" w:cs="Calibri"/>
                <w:color w:val="002060"/>
                <w:sz w:val="20"/>
                <w:szCs w:val="20"/>
                <w:lang w:val="en-GB"/>
              </w:rPr>
            </w:pPr>
            <w:r w:rsidRPr="00F068C8">
              <w:rPr>
                <w:rFonts w:ascii="Calibri" w:hAnsi="Calibri" w:cs="Calibri"/>
                <w:color w:val="002060"/>
                <w:sz w:val="20"/>
                <w:szCs w:val="20"/>
                <w:lang w:val="en-GB"/>
              </w:rPr>
              <w:t>Have you supplier meetings / engagement in 2025 for GD3 readiness?</w:t>
            </w:r>
          </w:p>
        </w:tc>
        <w:tc>
          <w:tcPr>
            <w:tcW w:w="5790" w:type="dxa"/>
          </w:tcPr>
          <w:p w14:paraId="41BBC98C" w14:textId="7A5582ED" w:rsidR="25841B43" w:rsidRPr="00F068C8" w:rsidRDefault="5DFDCF11" w:rsidP="25841B43">
            <w:pPr>
              <w:rPr>
                <w:rFonts w:ascii="Calibri" w:hAnsi="Calibri" w:cs="Calibri"/>
                <w:color w:val="002060"/>
                <w:sz w:val="20"/>
                <w:szCs w:val="20"/>
              </w:rPr>
            </w:pPr>
            <w:r w:rsidRPr="00F068C8">
              <w:rPr>
                <w:rFonts w:ascii="Calibri" w:hAnsi="Calibri" w:cs="Calibri"/>
                <w:color w:val="002060"/>
                <w:sz w:val="20"/>
                <w:szCs w:val="20"/>
              </w:rPr>
              <w:t xml:space="preserve">We have engaged with </w:t>
            </w:r>
            <w:r w:rsidR="6B6722D4" w:rsidRPr="00F068C8">
              <w:rPr>
                <w:rFonts w:ascii="Calibri" w:hAnsi="Calibri" w:cs="Calibri"/>
                <w:color w:val="002060"/>
                <w:sz w:val="20"/>
                <w:szCs w:val="20"/>
              </w:rPr>
              <w:t>several of our supply chain partners</w:t>
            </w:r>
            <w:r w:rsidRPr="00F068C8">
              <w:rPr>
                <w:rFonts w:ascii="Calibri" w:hAnsi="Calibri" w:cs="Calibri"/>
                <w:color w:val="002060"/>
                <w:sz w:val="20"/>
                <w:szCs w:val="20"/>
              </w:rPr>
              <w:t xml:space="preserve"> regarding our GD3 business plan</w:t>
            </w:r>
            <w:r w:rsidR="0630120C" w:rsidRPr="00F068C8">
              <w:rPr>
                <w:rFonts w:ascii="Calibri" w:hAnsi="Calibri" w:cs="Calibri"/>
                <w:color w:val="002060"/>
                <w:sz w:val="20"/>
                <w:szCs w:val="20"/>
              </w:rPr>
              <w:t xml:space="preserve">, principally our gas mains replacement providers. We will continue to </w:t>
            </w:r>
            <w:r w:rsidR="01E2DDEB" w:rsidRPr="00F068C8">
              <w:rPr>
                <w:rFonts w:ascii="Calibri" w:hAnsi="Calibri" w:cs="Calibri"/>
                <w:color w:val="002060"/>
                <w:sz w:val="20"/>
                <w:szCs w:val="20"/>
              </w:rPr>
              <w:t>discuss</w:t>
            </w:r>
            <w:r w:rsidR="0630120C" w:rsidRPr="00F068C8">
              <w:rPr>
                <w:rFonts w:ascii="Calibri" w:hAnsi="Calibri" w:cs="Calibri"/>
                <w:color w:val="002060"/>
                <w:sz w:val="20"/>
                <w:szCs w:val="20"/>
              </w:rPr>
              <w:t xml:space="preserve"> our GD3 business plan with our suppliers </w:t>
            </w:r>
            <w:r w:rsidR="1CBC6529" w:rsidRPr="00F068C8">
              <w:rPr>
                <w:rFonts w:ascii="Calibri" w:hAnsi="Calibri" w:cs="Calibri"/>
                <w:color w:val="002060"/>
                <w:sz w:val="20"/>
                <w:szCs w:val="20"/>
              </w:rPr>
              <w:t>during 2025 as part of our regular supplier engagement programme.</w:t>
            </w:r>
          </w:p>
        </w:tc>
      </w:tr>
      <w:tr w:rsidR="00FF4F0C" w:rsidRPr="00F068C8" w14:paraId="4037AAB3" w14:textId="77777777" w:rsidTr="3AF2DC9A">
        <w:trPr>
          <w:trHeight w:val="300"/>
        </w:trPr>
        <w:tc>
          <w:tcPr>
            <w:tcW w:w="3675" w:type="dxa"/>
          </w:tcPr>
          <w:p w14:paraId="2853EDF4" w14:textId="6FCAC105" w:rsidR="00FF4F0C" w:rsidRPr="00F068C8" w:rsidRDefault="00FF4F0C" w:rsidP="00FF4F0C">
            <w:pPr>
              <w:rPr>
                <w:rFonts w:ascii="Calibri" w:hAnsi="Calibri" w:cs="Calibri"/>
                <w:color w:val="002060"/>
                <w:sz w:val="20"/>
                <w:szCs w:val="20"/>
                <w:lang w:val="en-GB"/>
              </w:rPr>
            </w:pPr>
            <w:r w:rsidRPr="00F068C8">
              <w:rPr>
                <w:rFonts w:ascii="Calibri" w:hAnsi="Calibri" w:cs="Calibri"/>
                <w:color w:val="002060"/>
                <w:sz w:val="20"/>
                <w:szCs w:val="20"/>
                <w:lang w:val="en-GB"/>
              </w:rPr>
              <w:t xml:space="preserve">Is there a timeline/strategy for external services/procurement? </w:t>
            </w:r>
            <w:proofErr w:type="spellStart"/>
            <w:r w:rsidRPr="00F068C8">
              <w:rPr>
                <w:rFonts w:ascii="Calibri" w:hAnsi="Calibri" w:cs="Calibri"/>
                <w:color w:val="002060"/>
                <w:sz w:val="20"/>
                <w:szCs w:val="20"/>
                <w:lang w:val="en-GB"/>
              </w:rPr>
              <w:t>e.g</w:t>
            </w:r>
            <w:proofErr w:type="spellEnd"/>
            <w:r w:rsidRPr="00F068C8">
              <w:rPr>
                <w:rFonts w:ascii="Calibri" w:hAnsi="Calibri" w:cs="Calibri"/>
                <w:color w:val="002060"/>
                <w:sz w:val="20"/>
                <w:szCs w:val="20"/>
                <w:lang w:val="en-GB"/>
              </w:rPr>
              <w:t xml:space="preserve"> When will the new frameworks be tended for services such as design, fabrication and construction.</w:t>
            </w:r>
          </w:p>
        </w:tc>
        <w:tc>
          <w:tcPr>
            <w:tcW w:w="5790" w:type="dxa"/>
          </w:tcPr>
          <w:p w14:paraId="505BDF0B" w14:textId="77777777" w:rsidR="00FF4F0C" w:rsidRPr="00F068C8" w:rsidRDefault="00FF4F0C" w:rsidP="00FF4F0C">
            <w:pPr>
              <w:rPr>
                <w:rFonts w:ascii="Calibri" w:hAnsi="Calibri" w:cs="Calibri"/>
                <w:color w:val="002060"/>
                <w:sz w:val="20"/>
                <w:szCs w:val="20"/>
              </w:rPr>
            </w:pPr>
          </w:p>
          <w:p w14:paraId="6F887725" w14:textId="77777777"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We will continue delivering our Repex programme through our DSP model. Other services will be procured in due course as business needs arise. We will continue to ensure we communicate this with our supply chain at the earliest opportunity.</w:t>
            </w:r>
          </w:p>
          <w:p w14:paraId="36DC65BC" w14:textId="77777777" w:rsidR="00FF4F0C" w:rsidRPr="00F068C8" w:rsidRDefault="00FF4F0C" w:rsidP="00FF4F0C">
            <w:pPr>
              <w:rPr>
                <w:rFonts w:ascii="Calibri" w:hAnsi="Calibri" w:cs="Calibri"/>
                <w:color w:val="002060"/>
                <w:sz w:val="20"/>
                <w:szCs w:val="20"/>
              </w:rPr>
            </w:pPr>
          </w:p>
        </w:tc>
      </w:tr>
      <w:tr w:rsidR="00F068C8" w:rsidRPr="00F068C8" w14:paraId="2E16269A" w14:textId="77777777" w:rsidTr="00F94CF2">
        <w:trPr>
          <w:trHeight w:val="300"/>
        </w:trPr>
        <w:tc>
          <w:tcPr>
            <w:tcW w:w="9465" w:type="dxa"/>
            <w:gridSpan w:val="2"/>
            <w:shd w:val="clear" w:color="auto" w:fill="002060"/>
          </w:tcPr>
          <w:p w14:paraId="54B49071" w14:textId="22FCA385" w:rsidR="00FF4F0C" w:rsidRPr="00F068C8" w:rsidRDefault="00FF4F0C" w:rsidP="00FF4F0C">
            <w:pPr>
              <w:rPr>
                <w:rFonts w:ascii="Calibri" w:hAnsi="Calibri" w:cs="Calibri"/>
                <w:b/>
                <w:bCs/>
                <w:color w:val="002060"/>
                <w:sz w:val="20"/>
                <w:szCs w:val="20"/>
              </w:rPr>
            </w:pPr>
            <w:r w:rsidRPr="00F94CF2">
              <w:rPr>
                <w:rFonts w:ascii="Calibri" w:hAnsi="Calibri" w:cs="Calibri"/>
                <w:b/>
                <w:bCs/>
                <w:color w:val="FFFFFF" w:themeColor="background1"/>
                <w:sz w:val="20"/>
                <w:szCs w:val="20"/>
              </w:rPr>
              <w:t>Biomethane and Green Gas</w:t>
            </w:r>
          </w:p>
        </w:tc>
      </w:tr>
      <w:tr w:rsidR="00F068C8" w:rsidRPr="00F068C8" w14:paraId="1C50B9E4" w14:textId="77777777" w:rsidTr="3AF2DC9A">
        <w:trPr>
          <w:trHeight w:val="300"/>
        </w:trPr>
        <w:tc>
          <w:tcPr>
            <w:tcW w:w="3675" w:type="dxa"/>
          </w:tcPr>
          <w:p w14:paraId="4B0F990B" w14:textId="4A823E49" w:rsidR="00FF4F0C" w:rsidRPr="00F068C8" w:rsidRDefault="00FF4F0C" w:rsidP="00FF4F0C">
            <w:pPr>
              <w:rPr>
                <w:rFonts w:ascii="Calibri" w:hAnsi="Calibri" w:cs="Calibri"/>
                <w:color w:val="002060"/>
                <w:sz w:val="20"/>
                <w:szCs w:val="20"/>
                <w:lang w:val="en-GB"/>
              </w:rPr>
            </w:pPr>
            <w:r w:rsidRPr="00F068C8">
              <w:rPr>
                <w:rFonts w:ascii="Calibri" w:hAnsi="Calibri" w:cs="Calibri"/>
                <w:color w:val="002060"/>
                <w:sz w:val="20"/>
                <w:szCs w:val="20"/>
                <w:lang w:val="en-GB"/>
              </w:rPr>
              <w:t xml:space="preserve">Does Biomethane Injection feature in the BP? </w:t>
            </w:r>
          </w:p>
        </w:tc>
        <w:tc>
          <w:tcPr>
            <w:tcW w:w="5790" w:type="dxa"/>
          </w:tcPr>
          <w:p w14:paraId="269133A8" w14:textId="4A26739B"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 xml:space="preserve">Low carbon gases, including Biomethane are an important steppingstone for the journey to net zero. We've been supporting connections for Biomethane to our network since the very start of RIIO1, and we offer enhanced customer service beyond the minimum requirements set by Ofgem for connection inquiries and connection capacity studies. </w:t>
            </w:r>
          </w:p>
          <w:p w14:paraId="63A39E16" w14:textId="1FB64D48" w:rsidR="00FF4F0C" w:rsidRPr="00F068C8" w:rsidRDefault="00FF4F0C" w:rsidP="00FF4F0C">
            <w:pPr>
              <w:rPr>
                <w:rFonts w:ascii="Calibri" w:hAnsi="Calibri" w:cs="Calibri"/>
                <w:color w:val="002060"/>
                <w:sz w:val="20"/>
                <w:szCs w:val="20"/>
              </w:rPr>
            </w:pPr>
          </w:p>
          <w:p w14:paraId="7EA6CDE8" w14:textId="6A3E5ADE"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 xml:space="preserve">NGN do </w:t>
            </w:r>
            <w:proofErr w:type="spellStart"/>
            <w:r w:rsidRPr="00F068C8">
              <w:rPr>
                <w:rFonts w:ascii="Calibri" w:hAnsi="Calibri" w:cs="Calibri"/>
                <w:color w:val="002060"/>
                <w:sz w:val="20"/>
                <w:szCs w:val="20"/>
              </w:rPr>
              <w:t>recognise</w:t>
            </w:r>
            <w:proofErr w:type="spellEnd"/>
            <w:r w:rsidRPr="00F068C8">
              <w:rPr>
                <w:rFonts w:ascii="Calibri" w:hAnsi="Calibri" w:cs="Calibri"/>
                <w:color w:val="002060"/>
                <w:sz w:val="20"/>
                <w:szCs w:val="20"/>
              </w:rPr>
              <w:t xml:space="preserve"> that there's still some work to do to </w:t>
            </w:r>
            <w:proofErr w:type="spellStart"/>
            <w:r w:rsidRPr="00F068C8">
              <w:rPr>
                <w:rFonts w:ascii="Calibri" w:hAnsi="Calibri" w:cs="Calibri"/>
                <w:color w:val="002060"/>
                <w:sz w:val="20"/>
                <w:szCs w:val="20"/>
              </w:rPr>
              <w:t>standardise</w:t>
            </w:r>
            <w:proofErr w:type="spellEnd"/>
            <w:r w:rsidRPr="00F068C8">
              <w:rPr>
                <w:rFonts w:ascii="Calibri" w:hAnsi="Calibri" w:cs="Calibri"/>
                <w:color w:val="002060"/>
                <w:sz w:val="20"/>
                <w:szCs w:val="20"/>
              </w:rPr>
              <w:t xml:space="preserve"> connection requirements across the different networks. In response we’re continuing to commit to working collaboratively with our fellow networks to </w:t>
            </w:r>
            <w:proofErr w:type="spellStart"/>
            <w:r w:rsidRPr="00F068C8">
              <w:rPr>
                <w:rFonts w:ascii="Calibri" w:hAnsi="Calibri" w:cs="Calibri"/>
                <w:color w:val="002060"/>
                <w:sz w:val="20"/>
                <w:szCs w:val="20"/>
              </w:rPr>
              <w:t>standardise</w:t>
            </w:r>
            <w:proofErr w:type="spellEnd"/>
            <w:r w:rsidRPr="00F068C8">
              <w:rPr>
                <w:rFonts w:ascii="Calibri" w:hAnsi="Calibri" w:cs="Calibri"/>
                <w:color w:val="002060"/>
                <w:sz w:val="20"/>
                <w:szCs w:val="20"/>
              </w:rPr>
              <w:t xml:space="preserve"> those procedures to help reduce costs for connections, as well as supporting innovation projects that look to unlock this valuable fuel.</w:t>
            </w:r>
          </w:p>
        </w:tc>
      </w:tr>
      <w:tr w:rsidR="00FF4F0C" w:rsidRPr="00F068C8" w14:paraId="338C4F4B" w14:textId="77777777" w:rsidTr="3AF2DC9A">
        <w:trPr>
          <w:trHeight w:val="300"/>
        </w:trPr>
        <w:tc>
          <w:tcPr>
            <w:tcW w:w="3675" w:type="dxa"/>
          </w:tcPr>
          <w:p w14:paraId="6065E947" w14:textId="44990842" w:rsidR="00FF4F0C" w:rsidRPr="00F068C8" w:rsidRDefault="00FF4F0C" w:rsidP="00FF4F0C">
            <w:pPr>
              <w:rPr>
                <w:rFonts w:ascii="Calibri" w:hAnsi="Calibri" w:cs="Calibri"/>
                <w:color w:val="002060"/>
                <w:sz w:val="20"/>
                <w:szCs w:val="20"/>
                <w:lang w:val="en-GB"/>
              </w:rPr>
            </w:pPr>
            <w:r w:rsidRPr="00F068C8">
              <w:rPr>
                <w:rFonts w:ascii="Calibri" w:hAnsi="Calibri" w:cs="Calibri"/>
                <w:color w:val="002060"/>
                <w:sz w:val="20"/>
                <w:szCs w:val="20"/>
              </w:rPr>
              <w:t xml:space="preserve">Would NGN consider working with </w:t>
            </w:r>
            <w:proofErr w:type="gramStart"/>
            <w:r w:rsidRPr="00F068C8">
              <w:rPr>
                <w:rFonts w:ascii="Calibri" w:hAnsi="Calibri" w:cs="Calibri"/>
                <w:color w:val="002060"/>
                <w:sz w:val="20"/>
                <w:szCs w:val="20"/>
              </w:rPr>
              <w:t>SME's</w:t>
            </w:r>
            <w:proofErr w:type="gramEnd"/>
            <w:r w:rsidRPr="00F068C8">
              <w:rPr>
                <w:rFonts w:ascii="Calibri" w:hAnsi="Calibri" w:cs="Calibri"/>
                <w:color w:val="002060"/>
                <w:sz w:val="20"/>
                <w:szCs w:val="20"/>
              </w:rPr>
              <w:t xml:space="preserve"> for Green Hydrogen </w:t>
            </w:r>
            <w:proofErr w:type="spellStart"/>
            <w:r w:rsidRPr="00F068C8">
              <w:rPr>
                <w:rFonts w:ascii="Calibri" w:hAnsi="Calibri" w:cs="Calibri"/>
                <w:color w:val="002060"/>
                <w:sz w:val="20"/>
                <w:szCs w:val="20"/>
              </w:rPr>
              <w:t>Electrolyser</w:t>
            </w:r>
            <w:proofErr w:type="spellEnd"/>
            <w:r w:rsidRPr="00F068C8">
              <w:rPr>
                <w:rFonts w:ascii="Calibri" w:hAnsi="Calibri" w:cs="Calibri"/>
                <w:color w:val="002060"/>
                <w:sz w:val="20"/>
                <w:szCs w:val="20"/>
              </w:rPr>
              <w:t xml:space="preserve"> projects? </w:t>
            </w:r>
          </w:p>
        </w:tc>
        <w:tc>
          <w:tcPr>
            <w:tcW w:w="5790" w:type="dxa"/>
          </w:tcPr>
          <w:p w14:paraId="40B32481" w14:textId="3DDEAA50"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Working with various cross-sector partners will be important in kickstarting the UK hydrogen economy. Our East Coast Hydrogen project team is already engaging with local companies of various sizes in our region, and we hope to continue doing so in GD3.</w:t>
            </w:r>
          </w:p>
        </w:tc>
      </w:tr>
      <w:tr w:rsidR="00FF4F0C" w:rsidRPr="00F068C8" w14:paraId="24A5E4ED" w14:textId="77777777" w:rsidTr="3AF2DC9A">
        <w:trPr>
          <w:trHeight w:val="300"/>
        </w:trPr>
        <w:tc>
          <w:tcPr>
            <w:tcW w:w="3675" w:type="dxa"/>
          </w:tcPr>
          <w:p w14:paraId="0077CB2F" w14:textId="22388CD7" w:rsidR="00FF4F0C" w:rsidRPr="00F068C8" w:rsidRDefault="00FF4F0C" w:rsidP="00FF4F0C">
            <w:pPr>
              <w:rPr>
                <w:rFonts w:ascii="Calibri" w:hAnsi="Calibri" w:cs="Calibri"/>
                <w:color w:val="002060"/>
                <w:sz w:val="20"/>
                <w:szCs w:val="20"/>
                <w:lang w:val="en-GB"/>
              </w:rPr>
            </w:pPr>
            <w:r w:rsidRPr="00F068C8">
              <w:rPr>
                <w:rFonts w:ascii="Calibri" w:hAnsi="Calibri" w:cs="Calibri"/>
                <w:color w:val="002060"/>
                <w:sz w:val="20"/>
                <w:szCs w:val="20"/>
              </w:rPr>
              <w:t xml:space="preserve">Are you going to use </w:t>
            </w:r>
            <w:proofErr w:type="spellStart"/>
            <w:r w:rsidRPr="00F068C8">
              <w:rPr>
                <w:rFonts w:ascii="Calibri" w:hAnsi="Calibri" w:cs="Calibri"/>
                <w:color w:val="002060"/>
                <w:sz w:val="20"/>
                <w:szCs w:val="20"/>
              </w:rPr>
              <w:t>MethaneSat</w:t>
            </w:r>
            <w:proofErr w:type="spellEnd"/>
            <w:r w:rsidRPr="00F068C8">
              <w:rPr>
                <w:rFonts w:ascii="Calibri" w:hAnsi="Calibri" w:cs="Calibri"/>
                <w:color w:val="002060"/>
                <w:sz w:val="20"/>
                <w:szCs w:val="20"/>
              </w:rPr>
              <w:t xml:space="preserve"> data? </w:t>
            </w:r>
          </w:p>
        </w:tc>
        <w:tc>
          <w:tcPr>
            <w:tcW w:w="5790" w:type="dxa"/>
          </w:tcPr>
          <w:p w14:paraId="0EBA85A6" w14:textId="6E7FDC69"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This is one of the technologies that's been reviewed as part of the Digital Platform for Leakage Analytics (DPLA) innovation project. It is being weighed up in terms of the cost benefit analysis and practicalities of using it, alongside other types of detectors that have previously been mentioned.</w:t>
            </w:r>
          </w:p>
        </w:tc>
      </w:tr>
      <w:tr w:rsidR="00F068C8" w:rsidRPr="00F068C8" w14:paraId="5DFF6521" w14:textId="77777777" w:rsidTr="3AF2DC9A">
        <w:trPr>
          <w:trHeight w:val="300"/>
        </w:trPr>
        <w:tc>
          <w:tcPr>
            <w:tcW w:w="3675" w:type="dxa"/>
          </w:tcPr>
          <w:p w14:paraId="5A605D9D" w14:textId="426C1E05"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lang w:val="en-GB"/>
              </w:rPr>
              <w:t>Is there a map of Injection points you could share and potential new ones?</w:t>
            </w:r>
          </w:p>
        </w:tc>
        <w:tc>
          <w:tcPr>
            <w:tcW w:w="5790" w:type="dxa"/>
          </w:tcPr>
          <w:p w14:paraId="48C877B6" w14:textId="77777777" w:rsidR="00FF4F0C" w:rsidRPr="00F068C8" w:rsidRDefault="00FF4F0C" w:rsidP="00FF4F0C">
            <w:pPr>
              <w:rPr>
                <w:color w:val="002060"/>
                <w:sz w:val="20"/>
                <w:szCs w:val="20"/>
              </w:rPr>
            </w:pPr>
            <w:r w:rsidRPr="00F068C8">
              <w:rPr>
                <w:color w:val="002060"/>
                <w:sz w:val="20"/>
                <w:szCs w:val="20"/>
              </w:rPr>
              <w:t xml:space="preserve">We publish the volume of biomethane introduced into NGN's network daily, by entry point, in kilowatt-hours (kWh) on our Open Data Portal here: </w:t>
            </w:r>
            <w:hyperlink r:id="rId8">
              <w:r w:rsidRPr="00F068C8">
                <w:rPr>
                  <w:rStyle w:val="Hyperlink"/>
                  <w:color w:val="002060"/>
                  <w:sz w:val="20"/>
                  <w:szCs w:val="20"/>
                </w:rPr>
                <w:t>https://northerngasopendataportal.co.uk/dataset/8</w:t>
              </w:r>
            </w:hyperlink>
          </w:p>
          <w:p w14:paraId="4DA56F69" w14:textId="77777777" w:rsidR="00FF4F0C" w:rsidRPr="00F068C8" w:rsidRDefault="00FF4F0C" w:rsidP="00FF4F0C">
            <w:pPr>
              <w:rPr>
                <w:rFonts w:ascii="Calibri" w:hAnsi="Calibri" w:cs="Calibri"/>
                <w:color w:val="002060"/>
                <w:sz w:val="20"/>
                <w:szCs w:val="20"/>
              </w:rPr>
            </w:pPr>
          </w:p>
          <w:p w14:paraId="30844BCB" w14:textId="208AB3C4" w:rsidR="00FF4F0C" w:rsidRPr="00F068C8" w:rsidRDefault="00FF4F0C" w:rsidP="00FF4F0C">
            <w:pPr>
              <w:rPr>
                <w:color w:val="002060"/>
                <w:sz w:val="20"/>
                <w:szCs w:val="20"/>
              </w:rPr>
            </w:pPr>
            <w:r w:rsidRPr="00F068C8">
              <w:rPr>
                <w:color w:val="002060"/>
                <w:sz w:val="20"/>
                <w:szCs w:val="20"/>
              </w:rPr>
              <w:t xml:space="preserve">Biomethane injection opportunity maps have been considered in the past following stakeholder enquiries. Such maps would provide a snapshot in time of a complex, constantly changing network which would limit their usefulness. </w:t>
            </w:r>
            <w:r w:rsidR="00953571" w:rsidRPr="00F068C8">
              <w:rPr>
                <w:color w:val="002060"/>
                <w:sz w:val="20"/>
                <w:szCs w:val="20"/>
              </w:rPr>
              <w:t>Instead,</w:t>
            </w:r>
            <w:r w:rsidRPr="00F068C8">
              <w:rPr>
                <w:color w:val="002060"/>
                <w:sz w:val="20"/>
                <w:szCs w:val="20"/>
              </w:rPr>
              <w:t xml:space="preserve"> we always welcome early conversations with producers regarding </w:t>
            </w:r>
            <w:r w:rsidRPr="00F068C8">
              <w:rPr>
                <w:color w:val="002060"/>
                <w:sz w:val="20"/>
                <w:szCs w:val="20"/>
              </w:rPr>
              <w:lastRenderedPageBreak/>
              <w:t>prospective injection locations to offer guidance and help guide them through the application process.</w:t>
            </w:r>
          </w:p>
          <w:p w14:paraId="3DF43E1B" w14:textId="5EAFF75E" w:rsidR="00F068C8" w:rsidRPr="00F068C8" w:rsidRDefault="00F068C8" w:rsidP="00FF4F0C">
            <w:pPr>
              <w:rPr>
                <w:rFonts w:ascii="Calibri" w:hAnsi="Calibri" w:cs="Calibri"/>
                <w:color w:val="002060"/>
                <w:sz w:val="20"/>
                <w:szCs w:val="20"/>
              </w:rPr>
            </w:pPr>
          </w:p>
        </w:tc>
      </w:tr>
      <w:tr w:rsidR="00F068C8" w:rsidRPr="00F068C8" w14:paraId="5E8BFDB9" w14:textId="77777777" w:rsidTr="00F94CF2">
        <w:trPr>
          <w:trHeight w:val="300"/>
        </w:trPr>
        <w:tc>
          <w:tcPr>
            <w:tcW w:w="9465" w:type="dxa"/>
            <w:gridSpan w:val="2"/>
            <w:shd w:val="clear" w:color="auto" w:fill="002060"/>
          </w:tcPr>
          <w:p w14:paraId="6D89E7BC" w14:textId="28A98C4C" w:rsidR="00FF4F0C" w:rsidRPr="00F068C8" w:rsidRDefault="00FF4F0C" w:rsidP="00FF4F0C">
            <w:pPr>
              <w:rPr>
                <w:rFonts w:ascii="Calibri" w:hAnsi="Calibri" w:cs="Calibri"/>
                <w:b/>
                <w:bCs/>
                <w:color w:val="002060"/>
                <w:sz w:val="20"/>
                <w:szCs w:val="20"/>
              </w:rPr>
            </w:pPr>
            <w:r w:rsidRPr="00F94CF2">
              <w:rPr>
                <w:rFonts w:ascii="Calibri" w:hAnsi="Calibri" w:cs="Calibri"/>
                <w:b/>
                <w:bCs/>
                <w:color w:val="FFFFFF" w:themeColor="background1"/>
                <w:sz w:val="20"/>
                <w:szCs w:val="20"/>
              </w:rPr>
              <w:lastRenderedPageBreak/>
              <w:t xml:space="preserve">Social Strategy and Vulnerability </w:t>
            </w:r>
          </w:p>
        </w:tc>
      </w:tr>
      <w:tr w:rsidR="00F068C8" w:rsidRPr="00F068C8" w14:paraId="6B84EF0E" w14:textId="77777777" w:rsidTr="3AF2DC9A">
        <w:trPr>
          <w:trHeight w:val="300"/>
        </w:trPr>
        <w:tc>
          <w:tcPr>
            <w:tcW w:w="3675" w:type="dxa"/>
          </w:tcPr>
          <w:p w14:paraId="7227BE8F" w14:textId="474EE9AB"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In terms of customer vulnerability/fuel poverty, what is NGN's stance on standing charge waiver/discounts for the most vulnerable?</w:t>
            </w:r>
          </w:p>
        </w:tc>
        <w:tc>
          <w:tcPr>
            <w:tcW w:w="5790" w:type="dxa"/>
          </w:tcPr>
          <w:p w14:paraId="58DD64A9" w14:textId="37D24D18"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NGN is supportive of any work that is done to support our most vulnerable customers keep safe and warm in their homes. Any changes to how energy bills are constructed need to be effectively funded and targeted towards those in most need.</w:t>
            </w:r>
          </w:p>
        </w:tc>
      </w:tr>
      <w:tr w:rsidR="00F068C8" w:rsidRPr="00F068C8" w14:paraId="5C91CB49" w14:textId="77777777" w:rsidTr="3AF2DC9A">
        <w:trPr>
          <w:trHeight w:val="300"/>
        </w:trPr>
        <w:tc>
          <w:tcPr>
            <w:tcW w:w="3675" w:type="dxa"/>
          </w:tcPr>
          <w:p w14:paraId="787AFAE3" w14:textId="5974F2F2"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What are NGNs plans to support community partners as we reach the end of GD2.</w:t>
            </w:r>
          </w:p>
        </w:tc>
        <w:tc>
          <w:tcPr>
            <w:tcW w:w="5790" w:type="dxa"/>
          </w:tcPr>
          <w:p w14:paraId="20F7C6C9" w14:textId="7F913928"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 xml:space="preserve">The future value of the vulnerability and carbon monoxide allowance (VCMA) hasn't been settled yet, so we currently don't know how much money we'll get in GD3 to support our vulnerable customers through the partnerships that we have in place. We </w:t>
            </w:r>
            <w:proofErr w:type="spellStart"/>
            <w:r w:rsidRPr="00F068C8">
              <w:rPr>
                <w:rFonts w:ascii="Calibri" w:hAnsi="Calibri" w:cs="Calibri"/>
                <w:color w:val="002060"/>
                <w:sz w:val="20"/>
                <w:szCs w:val="20"/>
              </w:rPr>
              <w:t>recognise</w:t>
            </w:r>
            <w:proofErr w:type="spellEnd"/>
            <w:r w:rsidRPr="00F068C8">
              <w:rPr>
                <w:rFonts w:ascii="Calibri" w:hAnsi="Calibri" w:cs="Calibri"/>
                <w:color w:val="002060"/>
                <w:sz w:val="20"/>
                <w:szCs w:val="20"/>
              </w:rPr>
              <w:t xml:space="preserve"> that the key focus for this year is to engage with our funded partners to understand how we can support them, and to make sure that NGN give really clear and prompt information as and when we get it on what the value of the vulnerability in carbon monoxide allowance is going to be, but also to help identify and open up external opportunities for different funding options. We are working hard to make our tool that measures social return on investment more accessible and user friendly for partners to use to be able to talk about the different benefits that those projects have, and we will do our utmost to support. We will also be very clear and transparent when we do have information available on what that allowance looks like for the future. We have continued commitments on our existing shareholder funded customer support fund (CSF) and our community partnering fund (CPF).</w:t>
            </w:r>
            <w:r w:rsidRPr="00F068C8">
              <w:rPr>
                <w:rFonts w:ascii="Segoe UI" w:hAnsi="Segoe UI" w:cs="Segoe UI"/>
                <w:color w:val="002060"/>
                <w:sz w:val="21"/>
                <w:szCs w:val="21"/>
                <w:shd w:val="clear" w:color="auto" w:fill="E1DFDD"/>
              </w:rPr>
              <w:t xml:space="preserve"> </w:t>
            </w:r>
            <w:r w:rsidRPr="00F068C8">
              <w:rPr>
                <w:rFonts w:ascii="Calibri" w:hAnsi="Calibri" w:cs="Calibri"/>
                <w:color w:val="002060"/>
                <w:sz w:val="20"/>
                <w:szCs w:val="20"/>
              </w:rPr>
              <w:t>They will be increased in GD3 and will be available to use for the projects that we are continuing to support through them.</w:t>
            </w:r>
          </w:p>
        </w:tc>
      </w:tr>
      <w:tr w:rsidR="00FF4F0C" w:rsidRPr="00F068C8" w14:paraId="089B3972" w14:textId="77777777" w:rsidTr="3AF2DC9A">
        <w:trPr>
          <w:trHeight w:val="300"/>
        </w:trPr>
        <w:tc>
          <w:tcPr>
            <w:tcW w:w="3675" w:type="dxa"/>
          </w:tcPr>
          <w:p w14:paraId="6BC659BC" w14:textId="40D390C0" w:rsidR="00FF4F0C" w:rsidRPr="00F068C8" w:rsidRDefault="00FF4F0C" w:rsidP="00FF4F0C">
            <w:pPr>
              <w:rPr>
                <w:rFonts w:ascii="Calibri" w:hAnsi="Calibri" w:cs="Calibri"/>
                <w:color w:val="002060"/>
                <w:sz w:val="20"/>
                <w:szCs w:val="20"/>
              </w:rPr>
            </w:pPr>
            <w:proofErr w:type="gramStart"/>
            <w:r w:rsidRPr="00F068C8">
              <w:rPr>
                <w:rFonts w:ascii="Calibri" w:hAnsi="Calibri" w:cs="Calibri"/>
                <w:color w:val="002060"/>
                <w:sz w:val="20"/>
                <w:szCs w:val="20"/>
              </w:rPr>
              <w:t>In regard</w:t>
            </w:r>
            <w:r w:rsidR="00F068C8" w:rsidRPr="00F068C8">
              <w:rPr>
                <w:rFonts w:ascii="Calibri" w:hAnsi="Calibri" w:cs="Calibri"/>
                <w:color w:val="002060"/>
                <w:sz w:val="20"/>
                <w:szCs w:val="20"/>
              </w:rPr>
              <w:t>s</w:t>
            </w:r>
            <w:r w:rsidRPr="00F068C8">
              <w:rPr>
                <w:rFonts w:ascii="Calibri" w:hAnsi="Calibri" w:cs="Calibri"/>
                <w:color w:val="002060"/>
                <w:sz w:val="20"/>
                <w:szCs w:val="20"/>
              </w:rPr>
              <w:t xml:space="preserve"> to</w:t>
            </w:r>
            <w:proofErr w:type="gramEnd"/>
            <w:r w:rsidRPr="00F068C8">
              <w:rPr>
                <w:rFonts w:ascii="Calibri" w:hAnsi="Calibri" w:cs="Calibri"/>
                <w:color w:val="002060"/>
                <w:sz w:val="20"/>
                <w:szCs w:val="20"/>
              </w:rPr>
              <w:t xml:space="preserve"> a 'just transition', the rich can afford to transition, and there's some schemes for the poorest to apply for such as ECO4/GBIS </w:t>
            </w:r>
            <w:proofErr w:type="spellStart"/>
            <w:r w:rsidRPr="00F068C8">
              <w:rPr>
                <w:rFonts w:ascii="Calibri" w:hAnsi="Calibri" w:cs="Calibri"/>
                <w:color w:val="002060"/>
                <w:sz w:val="20"/>
                <w:szCs w:val="20"/>
              </w:rPr>
              <w:t>etc</w:t>
            </w:r>
            <w:proofErr w:type="spellEnd"/>
            <w:r w:rsidRPr="00F068C8">
              <w:rPr>
                <w:rFonts w:ascii="Calibri" w:hAnsi="Calibri" w:cs="Calibri"/>
                <w:color w:val="002060"/>
                <w:sz w:val="20"/>
                <w:szCs w:val="20"/>
              </w:rPr>
              <w:t xml:space="preserve"> depending on eligibility qualification, but there's a massive group of people who don't qualify for the schemes due to income levels nor can afford the low-carbon tech/insulation measures. Are there any plans from NGN to support this middle group to transition?</w:t>
            </w:r>
          </w:p>
        </w:tc>
        <w:tc>
          <w:tcPr>
            <w:tcW w:w="5790" w:type="dxa"/>
          </w:tcPr>
          <w:p w14:paraId="2AE79CD0" w14:textId="77777777" w:rsidR="00FF4F0C" w:rsidRPr="00F068C8" w:rsidRDefault="00FF4F0C" w:rsidP="00FF4F0C">
            <w:pPr>
              <w:rPr>
                <w:rFonts w:ascii="Calibri" w:hAnsi="Calibri" w:cs="Calibri"/>
                <w:color w:val="002060"/>
                <w:sz w:val="20"/>
                <w:szCs w:val="20"/>
              </w:rPr>
            </w:pPr>
            <w:r w:rsidRPr="00F068C8">
              <w:rPr>
                <w:rFonts w:ascii="Calibri" w:hAnsi="Calibri" w:cs="Calibri"/>
                <w:color w:val="002060"/>
                <w:sz w:val="20"/>
                <w:szCs w:val="20"/>
              </w:rPr>
              <w:t>Within our business we have 6 focus areas to support customers through the energy transition:</w:t>
            </w:r>
          </w:p>
          <w:p w14:paraId="1277A68A" w14:textId="77777777" w:rsidR="00FF4F0C" w:rsidRPr="00F068C8" w:rsidRDefault="00FF4F0C" w:rsidP="00FF4F0C">
            <w:pPr>
              <w:pStyle w:val="ListParagraph"/>
              <w:numPr>
                <w:ilvl w:val="0"/>
                <w:numId w:val="11"/>
              </w:numPr>
              <w:tabs>
                <w:tab w:val="left" w:pos="720"/>
              </w:tabs>
              <w:rPr>
                <w:rFonts w:ascii="Calibri" w:hAnsi="Calibri" w:cs="Calibri"/>
                <w:color w:val="002060"/>
                <w:sz w:val="20"/>
                <w:szCs w:val="20"/>
              </w:rPr>
            </w:pPr>
            <w:r w:rsidRPr="00F068C8">
              <w:rPr>
                <w:rFonts w:ascii="Calibri" w:hAnsi="Calibri" w:cs="Calibri"/>
                <w:color w:val="002060"/>
                <w:sz w:val="20"/>
                <w:szCs w:val="20"/>
              </w:rPr>
              <w:t xml:space="preserve">Embed support for customers through our business-as-usual activities  </w:t>
            </w:r>
          </w:p>
          <w:p w14:paraId="133CC0D8" w14:textId="77777777" w:rsidR="00FF4F0C" w:rsidRPr="00F068C8" w:rsidRDefault="00FF4F0C" w:rsidP="00FF4F0C">
            <w:pPr>
              <w:pStyle w:val="ListParagraph"/>
              <w:numPr>
                <w:ilvl w:val="0"/>
                <w:numId w:val="11"/>
              </w:numPr>
              <w:tabs>
                <w:tab w:val="left" w:pos="720"/>
              </w:tabs>
              <w:rPr>
                <w:rFonts w:ascii="Calibri" w:hAnsi="Calibri" w:cs="Calibri"/>
                <w:color w:val="002060"/>
                <w:sz w:val="20"/>
                <w:szCs w:val="20"/>
              </w:rPr>
            </w:pPr>
            <w:r w:rsidRPr="00F068C8">
              <w:rPr>
                <w:rFonts w:ascii="Calibri" w:hAnsi="Calibri" w:cs="Calibri"/>
                <w:color w:val="002060"/>
                <w:sz w:val="20"/>
                <w:szCs w:val="20"/>
              </w:rPr>
              <w:t xml:space="preserve">Embed energy efficiency advice and referrals into projects supported by all available funding streams </w:t>
            </w:r>
          </w:p>
          <w:p w14:paraId="1CBEE79A" w14:textId="77777777" w:rsidR="00FF4F0C" w:rsidRPr="00F068C8" w:rsidRDefault="00FF4F0C" w:rsidP="00FF4F0C">
            <w:pPr>
              <w:pStyle w:val="ListParagraph"/>
              <w:numPr>
                <w:ilvl w:val="0"/>
                <w:numId w:val="11"/>
              </w:numPr>
              <w:tabs>
                <w:tab w:val="left" w:pos="720"/>
              </w:tabs>
              <w:rPr>
                <w:rFonts w:ascii="Calibri" w:hAnsi="Calibri" w:cs="Calibri"/>
                <w:color w:val="002060"/>
                <w:sz w:val="20"/>
                <w:szCs w:val="20"/>
              </w:rPr>
            </w:pPr>
            <w:r w:rsidRPr="00F068C8">
              <w:rPr>
                <w:rFonts w:ascii="Calibri" w:hAnsi="Calibri" w:cs="Calibri"/>
                <w:color w:val="002060"/>
                <w:sz w:val="20"/>
                <w:szCs w:val="20"/>
              </w:rPr>
              <w:t xml:space="preserve">Commit funding to provide first-time gas central heating and in-house measures as a transition to net zero, and where other options are not available in short/medium term.  Example – Off Gas Warmth </w:t>
            </w:r>
          </w:p>
          <w:p w14:paraId="62C7BD35" w14:textId="77777777" w:rsidR="00FF4F0C" w:rsidRPr="00F068C8" w:rsidRDefault="00FF4F0C" w:rsidP="00FF4F0C">
            <w:pPr>
              <w:pStyle w:val="ListParagraph"/>
              <w:numPr>
                <w:ilvl w:val="0"/>
                <w:numId w:val="11"/>
              </w:numPr>
              <w:tabs>
                <w:tab w:val="left" w:pos="720"/>
              </w:tabs>
              <w:rPr>
                <w:rFonts w:ascii="Calibri" w:hAnsi="Calibri" w:cs="Calibri"/>
                <w:color w:val="002060"/>
                <w:sz w:val="20"/>
                <w:szCs w:val="20"/>
              </w:rPr>
            </w:pPr>
            <w:r w:rsidRPr="00F068C8">
              <w:rPr>
                <w:rFonts w:ascii="Calibri" w:hAnsi="Calibri" w:cs="Calibri"/>
                <w:color w:val="002060"/>
                <w:sz w:val="20"/>
                <w:szCs w:val="20"/>
              </w:rPr>
              <w:t xml:space="preserve">Commit funding to repair/replace unsafe appliances following NGN intervention.  Example – Services Beyond the Meter </w:t>
            </w:r>
          </w:p>
          <w:p w14:paraId="23B29849" w14:textId="77777777" w:rsidR="00FF4F0C" w:rsidRPr="00F068C8" w:rsidRDefault="00FF4F0C" w:rsidP="00FF4F0C">
            <w:pPr>
              <w:pStyle w:val="ListParagraph"/>
              <w:numPr>
                <w:ilvl w:val="0"/>
                <w:numId w:val="11"/>
              </w:numPr>
              <w:tabs>
                <w:tab w:val="left" w:pos="720"/>
              </w:tabs>
              <w:rPr>
                <w:rFonts w:ascii="Calibri" w:hAnsi="Calibri" w:cs="Calibri"/>
                <w:color w:val="002060"/>
                <w:sz w:val="20"/>
                <w:szCs w:val="20"/>
              </w:rPr>
            </w:pPr>
            <w:r w:rsidRPr="00F068C8">
              <w:rPr>
                <w:rFonts w:ascii="Calibri" w:hAnsi="Calibri" w:cs="Calibri"/>
                <w:color w:val="002060"/>
                <w:sz w:val="20"/>
                <w:szCs w:val="20"/>
              </w:rPr>
              <w:t>Provide services that encourage customer safety through the energy transition. Example – commitments to Carbon Monoxide awareness campaigns</w:t>
            </w:r>
          </w:p>
          <w:p w14:paraId="1588EFEE" w14:textId="77777777" w:rsidR="00FF4F0C" w:rsidRPr="00F068C8" w:rsidRDefault="00FF4F0C" w:rsidP="00FF4F0C">
            <w:pPr>
              <w:pStyle w:val="ListParagraph"/>
              <w:numPr>
                <w:ilvl w:val="0"/>
                <w:numId w:val="11"/>
              </w:numPr>
              <w:tabs>
                <w:tab w:val="left" w:pos="720"/>
              </w:tabs>
              <w:rPr>
                <w:rFonts w:ascii="Calibri" w:hAnsi="Calibri" w:cs="Calibri"/>
                <w:color w:val="002060"/>
                <w:sz w:val="20"/>
                <w:szCs w:val="20"/>
              </w:rPr>
            </w:pPr>
            <w:r w:rsidRPr="00F068C8">
              <w:rPr>
                <w:rFonts w:ascii="Calibri" w:hAnsi="Calibri" w:cs="Calibri"/>
                <w:color w:val="002060"/>
                <w:sz w:val="20"/>
                <w:szCs w:val="20"/>
              </w:rPr>
              <w:t xml:space="preserve">Train partner </w:t>
            </w:r>
            <w:proofErr w:type="spellStart"/>
            <w:r w:rsidRPr="00F068C8">
              <w:rPr>
                <w:rFonts w:ascii="Calibri" w:hAnsi="Calibri" w:cs="Calibri"/>
                <w:color w:val="002060"/>
                <w:sz w:val="20"/>
                <w:szCs w:val="20"/>
              </w:rPr>
              <w:t>organisations</w:t>
            </w:r>
            <w:proofErr w:type="spellEnd"/>
            <w:r w:rsidRPr="00F068C8">
              <w:rPr>
                <w:rFonts w:ascii="Calibri" w:hAnsi="Calibri" w:cs="Calibri"/>
                <w:color w:val="002060"/>
                <w:sz w:val="20"/>
                <w:szCs w:val="20"/>
              </w:rPr>
              <w:t xml:space="preserve"> to understand </w:t>
            </w:r>
            <w:proofErr w:type="spellStart"/>
            <w:r w:rsidRPr="00F068C8">
              <w:rPr>
                <w:rFonts w:ascii="Calibri" w:hAnsi="Calibri" w:cs="Calibri"/>
                <w:color w:val="002060"/>
                <w:sz w:val="20"/>
                <w:szCs w:val="20"/>
              </w:rPr>
              <w:t>decarbonisation</w:t>
            </w:r>
            <w:proofErr w:type="spellEnd"/>
            <w:r w:rsidRPr="00F068C8">
              <w:rPr>
                <w:rFonts w:ascii="Calibri" w:hAnsi="Calibri" w:cs="Calibri"/>
                <w:color w:val="002060"/>
                <w:sz w:val="20"/>
                <w:szCs w:val="20"/>
              </w:rPr>
              <w:t>, and work with them to develop a programme of energy-specific support for households throughout the transition</w:t>
            </w:r>
          </w:p>
          <w:p w14:paraId="416934E8" w14:textId="77777777" w:rsidR="00FF4F0C" w:rsidRPr="00F068C8" w:rsidRDefault="00FF4F0C" w:rsidP="00FF4F0C">
            <w:pPr>
              <w:tabs>
                <w:tab w:val="left" w:pos="720"/>
              </w:tabs>
              <w:rPr>
                <w:rFonts w:ascii="Calibri" w:hAnsi="Calibri" w:cs="Calibri"/>
                <w:color w:val="002060"/>
                <w:sz w:val="20"/>
                <w:szCs w:val="20"/>
              </w:rPr>
            </w:pPr>
          </w:p>
          <w:p w14:paraId="7C1F9200" w14:textId="77777777" w:rsidR="00FF4F0C" w:rsidRPr="00F068C8" w:rsidRDefault="00FF4F0C" w:rsidP="00FF4F0C">
            <w:pPr>
              <w:tabs>
                <w:tab w:val="left" w:pos="720"/>
              </w:tabs>
              <w:rPr>
                <w:rFonts w:ascii="Calibri" w:hAnsi="Calibri" w:cs="Calibri"/>
                <w:color w:val="002060"/>
                <w:sz w:val="20"/>
                <w:szCs w:val="20"/>
              </w:rPr>
            </w:pPr>
            <w:r w:rsidRPr="00F068C8">
              <w:rPr>
                <w:rFonts w:ascii="Calibri" w:hAnsi="Calibri" w:cs="Calibri"/>
                <w:color w:val="002060"/>
                <w:sz w:val="20"/>
                <w:szCs w:val="20"/>
              </w:rPr>
              <w:t>We are working with partners to define the actions that will be taking in support of each focus area, to make sure that we reach those customers who might not qualify for any existing support schemes.</w:t>
            </w:r>
          </w:p>
          <w:p w14:paraId="336D712A" w14:textId="77777777" w:rsidR="00FF4F0C" w:rsidRPr="00F068C8" w:rsidRDefault="00FF4F0C" w:rsidP="00FF4F0C">
            <w:pPr>
              <w:rPr>
                <w:rFonts w:ascii="Calibri" w:hAnsi="Calibri" w:cs="Calibri"/>
                <w:color w:val="002060"/>
                <w:sz w:val="20"/>
                <w:szCs w:val="20"/>
              </w:rPr>
            </w:pPr>
          </w:p>
        </w:tc>
      </w:tr>
      <w:tr w:rsidR="00F068C8" w:rsidRPr="00F068C8" w14:paraId="37B640A0" w14:textId="77777777" w:rsidTr="3AF2DC9A">
        <w:trPr>
          <w:trHeight w:val="300"/>
        </w:trPr>
        <w:tc>
          <w:tcPr>
            <w:tcW w:w="3675" w:type="dxa"/>
          </w:tcPr>
          <w:p w14:paraId="0F8CF30F" w14:textId="19849C7F"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lang w:val="en-GB"/>
              </w:rPr>
              <w:lastRenderedPageBreak/>
              <w:t>A link between fuel poverty, energy theft &amp; gas leaks. Maybe an area to focus on? </w:t>
            </w:r>
          </w:p>
        </w:tc>
        <w:tc>
          <w:tcPr>
            <w:tcW w:w="5790" w:type="dxa"/>
          </w:tcPr>
          <w:p w14:paraId="2D552D43" w14:textId="0F7480F1"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We are open to the possibility that the cost-of-living crisis, and energy affordability issues in general, could have an impact on how customers use/maintain their gas supplies.  We have not noticed any specific increases in theft of gas cases from domestic customers, but we have put measures in place to work closely with vulnerable customers where TOG is identified.  We have already increased carbon monoxide awareness activities to protect customers who might be considering different actions to keep warm, such as taping up draughty windows, using old/dangerous LPG heaters as an example.</w:t>
            </w:r>
          </w:p>
        </w:tc>
      </w:tr>
      <w:tr w:rsidR="00F068C8" w:rsidRPr="00F068C8" w14:paraId="66302AC6" w14:textId="77777777" w:rsidTr="00F94CF2">
        <w:trPr>
          <w:trHeight w:val="300"/>
        </w:trPr>
        <w:tc>
          <w:tcPr>
            <w:tcW w:w="9465" w:type="dxa"/>
            <w:gridSpan w:val="2"/>
            <w:shd w:val="clear" w:color="auto" w:fill="002060"/>
          </w:tcPr>
          <w:p w14:paraId="74E73D86" w14:textId="72594103" w:rsidR="00F068C8" w:rsidRPr="00F068C8" w:rsidRDefault="00F068C8" w:rsidP="00F068C8">
            <w:pPr>
              <w:rPr>
                <w:rFonts w:ascii="Calibri" w:hAnsi="Calibri" w:cs="Calibri"/>
                <w:b/>
                <w:bCs/>
                <w:color w:val="002060"/>
                <w:sz w:val="20"/>
                <w:szCs w:val="20"/>
              </w:rPr>
            </w:pPr>
            <w:r w:rsidRPr="00F94CF2">
              <w:rPr>
                <w:rFonts w:ascii="Calibri" w:hAnsi="Calibri" w:cs="Calibri"/>
                <w:b/>
                <w:bCs/>
                <w:color w:val="FFFFFF" w:themeColor="background1"/>
                <w:sz w:val="20"/>
                <w:szCs w:val="20"/>
              </w:rPr>
              <w:t xml:space="preserve">Future Policy </w:t>
            </w:r>
          </w:p>
        </w:tc>
      </w:tr>
      <w:tr w:rsidR="00F068C8" w:rsidRPr="00F068C8" w14:paraId="49FD817C" w14:textId="77777777" w:rsidTr="3AF2DC9A">
        <w:trPr>
          <w:trHeight w:val="300"/>
        </w:trPr>
        <w:tc>
          <w:tcPr>
            <w:tcW w:w="3675" w:type="dxa"/>
          </w:tcPr>
          <w:p w14:paraId="42EF71D0" w14:textId="2807EE22"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Do you have any information regarding the Future Homes Standard update? I have heard that the gas boiler ban in new builds could be pushed back as far as 2035.</w:t>
            </w:r>
          </w:p>
        </w:tc>
        <w:tc>
          <w:tcPr>
            <w:tcW w:w="5790" w:type="dxa"/>
          </w:tcPr>
          <w:p w14:paraId="1C83450E" w14:textId="273F24D7"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rPr>
              <w:t>The future home standard is in draft form, but the current advice is that there'll be a consultation this year on heat and heating homes. An output of that will be a decision on the future home standards, but we currently don't have any further information on the date (we are pushing the government to advise as to when that might be).</w:t>
            </w:r>
            <w:r w:rsidRPr="00F068C8">
              <w:rPr>
                <w:rFonts w:ascii="Calibri" w:eastAsia="Times New Roman" w:hAnsi="Calibri" w:cs="Calibri"/>
                <w:color w:val="002060"/>
                <w:sz w:val="20"/>
                <w:szCs w:val="20"/>
                <w:shd w:val="clear" w:color="auto" w:fill="F5F5F5"/>
                <w:lang w:val="en-GB" w:eastAsia="en-GB"/>
              </w:rPr>
              <w:t xml:space="preserve"> </w:t>
            </w:r>
            <w:r w:rsidRPr="00F068C8">
              <w:rPr>
                <w:rFonts w:ascii="Calibri" w:hAnsi="Calibri" w:cs="Calibri"/>
                <w:color w:val="002060"/>
                <w:sz w:val="20"/>
                <w:szCs w:val="20"/>
                <w:lang w:val="en-GB"/>
              </w:rPr>
              <w:t>NGN will respond to that heat consultation, and we have a vested interest given the work we've done around repurposing and potential use of further green gases in the network.</w:t>
            </w:r>
          </w:p>
        </w:tc>
      </w:tr>
      <w:tr w:rsidR="00F068C8" w:rsidRPr="00F068C8" w14:paraId="3ADC0BAA" w14:textId="77777777" w:rsidTr="3AF2DC9A">
        <w:trPr>
          <w:trHeight w:val="300"/>
        </w:trPr>
        <w:tc>
          <w:tcPr>
            <w:tcW w:w="3675" w:type="dxa"/>
          </w:tcPr>
          <w:p w14:paraId="4BD51996" w14:textId="5438208F"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lang w:val="en-GB"/>
              </w:rPr>
              <w:t xml:space="preserve">What are NGNs </w:t>
            </w:r>
            <w:r w:rsidRPr="00F068C8">
              <w:rPr>
                <w:rFonts w:ascii="Calibri" w:hAnsi="Calibri" w:cs="Calibri"/>
                <w:color w:val="002060"/>
                <w:sz w:val="20"/>
                <w:szCs w:val="20"/>
              </w:rPr>
              <w:t>strategic planning capabilities and what role in RESP?</w:t>
            </w:r>
          </w:p>
        </w:tc>
        <w:tc>
          <w:tcPr>
            <w:tcW w:w="5790" w:type="dxa"/>
          </w:tcPr>
          <w:p w14:paraId="49436DE7" w14:textId="0845E671"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Our role is still emerging, but we will work with the Regional Energy Systems Planner (RESP) to understand the energy needs of the region. When the strategic direction or strategic projects are decided, we will work with NESO, RESP and local authorities to deliver infrastructure as required. In RIIO3, we expect there to be limited influence around what will be delivered, because our delivery processes will follow business as usual. When key infrastructure (such as the strategic hydrogen project that we're promoting with Ofgem around East Coast Hydrogen) come to fruition and go forward for funding, we'll work with the RESP to understand the most cost effective way to deliver them in partnership with the incumbent electricity operator Northern Power Grid or Electricity Northwest, to take account of local regional differences, variations and work with local councils to understand how those areas are delivered.</w:t>
            </w:r>
          </w:p>
        </w:tc>
      </w:tr>
      <w:tr w:rsidR="00F068C8" w:rsidRPr="00F068C8" w14:paraId="4DE32069" w14:textId="77777777" w:rsidTr="00F94CF2">
        <w:trPr>
          <w:trHeight w:val="300"/>
        </w:trPr>
        <w:tc>
          <w:tcPr>
            <w:tcW w:w="9465" w:type="dxa"/>
            <w:gridSpan w:val="2"/>
            <w:shd w:val="clear" w:color="auto" w:fill="002060"/>
          </w:tcPr>
          <w:p w14:paraId="3EF16602" w14:textId="2FE2E52B" w:rsidR="00F068C8" w:rsidRPr="00F068C8" w:rsidRDefault="00F068C8" w:rsidP="00F068C8">
            <w:pPr>
              <w:rPr>
                <w:rFonts w:ascii="Calibri" w:hAnsi="Calibri" w:cs="Calibri"/>
                <w:b/>
                <w:bCs/>
                <w:color w:val="002060"/>
                <w:sz w:val="20"/>
                <w:szCs w:val="20"/>
              </w:rPr>
            </w:pPr>
            <w:r w:rsidRPr="00F94CF2">
              <w:rPr>
                <w:rFonts w:ascii="Calibri" w:hAnsi="Calibri" w:cs="Calibri"/>
                <w:b/>
                <w:bCs/>
                <w:color w:val="FFFFFF" w:themeColor="background1"/>
                <w:sz w:val="20"/>
                <w:szCs w:val="20"/>
              </w:rPr>
              <w:t xml:space="preserve">Environment and Carbon Reduction </w:t>
            </w:r>
          </w:p>
        </w:tc>
      </w:tr>
      <w:tr w:rsidR="00F068C8" w:rsidRPr="00F068C8" w14:paraId="2ACAB412" w14:textId="77777777" w:rsidTr="3AF2DC9A">
        <w:trPr>
          <w:trHeight w:val="300"/>
        </w:trPr>
        <w:tc>
          <w:tcPr>
            <w:tcW w:w="3675" w:type="dxa"/>
          </w:tcPr>
          <w:p w14:paraId="04586BB5" w14:textId="019C553C"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lang w:val="en-GB"/>
              </w:rPr>
              <w:t xml:space="preserve">Please can you elaborate on the leak detection strategies to be deployed that are different to GD2? </w:t>
            </w:r>
          </w:p>
        </w:tc>
        <w:tc>
          <w:tcPr>
            <w:tcW w:w="5790" w:type="dxa"/>
          </w:tcPr>
          <w:p w14:paraId="6ADB77E4" w14:textId="4F9E9C7D"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NGN will continue the current leak detection programme and safety performance will not change. This will be supplemented by exploring the use of new automated leakage detection technologies, and we're a partner in an industry wide innovation project called the DPLA (Digital Platform for Leakage Analytics), which is testing a range of different leakage detection technologies from mobile sensors that are on vehicles through to fixed sensors on our infrastructure sites. In the meantime, we’ve proactively included funding for the use of the vehicle mounted leak detection technology in our GD3 business plan because we see that as something that's been proven in other parts of the world, and it could potentially be very useful.</w:t>
            </w:r>
          </w:p>
        </w:tc>
      </w:tr>
      <w:tr w:rsidR="00F068C8" w:rsidRPr="00F068C8" w14:paraId="0CFB90ED" w14:textId="77777777" w:rsidTr="00F94CF2">
        <w:trPr>
          <w:trHeight w:val="300"/>
        </w:trPr>
        <w:tc>
          <w:tcPr>
            <w:tcW w:w="9465" w:type="dxa"/>
            <w:gridSpan w:val="2"/>
            <w:shd w:val="clear" w:color="auto" w:fill="002060"/>
          </w:tcPr>
          <w:p w14:paraId="10CFBFBE" w14:textId="04D89C25" w:rsidR="00F068C8" w:rsidRPr="00F068C8" w:rsidRDefault="00F068C8" w:rsidP="00F068C8">
            <w:pPr>
              <w:rPr>
                <w:rFonts w:ascii="Calibri" w:hAnsi="Calibri" w:cs="Calibri"/>
                <w:b/>
                <w:bCs/>
                <w:color w:val="002060"/>
                <w:sz w:val="20"/>
                <w:szCs w:val="20"/>
              </w:rPr>
            </w:pPr>
            <w:r w:rsidRPr="00F94CF2">
              <w:rPr>
                <w:rFonts w:ascii="Calibri" w:hAnsi="Calibri" w:cs="Calibri"/>
                <w:b/>
                <w:bCs/>
                <w:color w:val="FFFFFF" w:themeColor="background1"/>
                <w:sz w:val="20"/>
                <w:szCs w:val="20"/>
              </w:rPr>
              <w:t xml:space="preserve">Working with Stakeholders </w:t>
            </w:r>
          </w:p>
        </w:tc>
      </w:tr>
      <w:tr w:rsidR="00F068C8" w:rsidRPr="00F068C8" w14:paraId="4AFD2A53" w14:textId="77777777" w:rsidTr="3AF2DC9A">
        <w:trPr>
          <w:trHeight w:val="300"/>
        </w:trPr>
        <w:tc>
          <w:tcPr>
            <w:tcW w:w="3675" w:type="dxa"/>
          </w:tcPr>
          <w:p w14:paraId="48C4224C" w14:textId="664062F6"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lang w:val="en-GB"/>
              </w:rPr>
              <w:t xml:space="preserve">Where do you foresee collaboration with regional / national stakeholders really </w:t>
            </w:r>
            <w:r w:rsidRPr="00F068C8">
              <w:rPr>
                <w:rFonts w:ascii="Calibri" w:hAnsi="Calibri" w:cs="Calibri"/>
                <w:color w:val="002060"/>
                <w:sz w:val="20"/>
                <w:szCs w:val="20"/>
                <w:lang w:val="en-GB"/>
              </w:rPr>
              <w:lastRenderedPageBreak/>
              <w:t xml:space="preserve">elevating what you achieve in GD3 compared to GD2 outcomes? </w:t>
            </w:r>
          </w:p>
        </w:tc>
        <w:tc>
          <w:tcPr>
            <w:tcW w:w="5790" w:type="dxa"/>
          </w:tcPr>
          <w:p w14:paraId="44C051CE" w14:textId="38B536C7"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rPr>
              <w:lastRenderedPageBreak/>
              <w:t xml:space="preserve">Collaboration is one of the key pillars of our plan of which we're </w:t>
            </w:r>
            <w:proofErr w:type="gramStart"/>
            <w:r w:rsidRPr="00F068C8">
              <w:rPr>
                <w:rFonts w:ascii="Calibri" w:hAnsi="Calibri" w:cs="Calibri"/>
                <w:color w:val="002060"/>
                <w:sz w:val="20"/>
                <w:szCs w:val="20"/>
              </w:rPr>
              <w:t>really proud</w:t>
            </w:r>
            <w:proofErr w:type="gramEnd"/>
            <w:r w:rsidRPr="00F068C8">
              <w:rPr>
                <w:rFonts w:ascii="Calibri" w:hAnsi="Calibri" w:cs="Calibri"/>
                <w:color w:val="002060"/>
                <w:sz w:val="20"/>
                <w:szCs w:val="20"/>
              </w:rPr>
              <w:t xml:space="preserve">. </w:t>
            </w:r>
            <w:r w:rsidRPr="00F068C8">
              <w:rPr>
                <w:rFonts w:ascii="Calibri" w:hAnsi="Calibri" w:cs="Calibri"/>
                <w:color w:val="002060"/>
                <w:sz w:val="20"/>
                <w:szCs w:val="20"/>
                <w:lang w:val="en-GB"/>
              </w:rPr>
              <w:t xml:space="preserve">We talked about the enhanced and industry leading </w:t>
            </w:r>
            <w:r w:rsidRPr="00F068C8">
              <w:rPr>
                <w:rFonts w:ascii="Calibri" w:hAnsi="Calibri" w:cs="Calibri"/>
                <w:color w:val="002060"/>
                <w:sz w:val="20"/>
                <w:szCs w:val="20"/>
                <w:lang w:val="en-GB"/>
              </w:rPr>
              <w:lastRenderedPageBreak/>
              <w:t xml:space="preserve">commitments that we've got, and a </w:t>
            </w:r>
            <w:r w:rsidRPr="00F068C8">
              <w:rPr>
                <w:rFonts w:ascii="Calibri" w:hAnsi="Calibri" w:cs="Calibri"/>
                <w:color w:val="002060"/>
                <w:sz w:val="20"/>
                <w:szCs w:val="20"/>
              </w:rPr>
              <w:t>number of those are based on that strong regional collaboration that we feel we need. There's one around the priority services register and making sure that we work on a regional awareness campaign rather than duplicating or having gaps in the work that we do, which feels like the right thing to do with our utility partners.</w:t>
            </w:r>
            <w:r w:rsidRPr="00F068C8">
              <w:rPr>
                <w:rFonts w:ascii="Segoe UI" w:hAnsi="Segoe UI" w:cs="Segoe UI"/>
                <w:color w:val="002060"/>
                <w:sz w:val="21"/>
                <w:szCs w:val="21"/>
                <w:shd w:val="clear" w:color="auto" w:fill="E1DFDD"/>
              </w:rPr>
              <w:t xml:space="preserve"> </w:t>
            </w:r>
            <w:r w:rsidRPr="00F068C8">
              <w:rPr>
                <w:rFonts w:ascii="Calibri" w:hAnsi="Calibri" w:cs="Calibri"/>
                <w:color w:val="002060"/>
                <w:sz w:val="20"/>
                <w:szCs w:val="20"/>
              </w:rPr>
              <w:t>The other area of regional collaboration is around vulnerability, where we are leading regional investments. We feel that an innovative investment strategy ready for GD3 will really help to underpin where we spend our money and how we spend well for the benefit of our customers.</w:t>
            </w:r>
          </w:p>
        </w:tc>
      </w:tr>
      <w:tr w:rsidR="00F068C8" w:rsidRPr="00F068C8" w14:paraId="5400FC12" w14:textId="77777777" w:rsidTr="3AF2DC9A">
        <w:trPr>
          <w:trHeight w:val="300"/>
        </w:trPr>
        <w:tc>
          <w:tcPr>
            <w:tcW w:w="3675" w:type="dxa"/>
          </w:tcPr>
          <w:p w14:paraId="0707E7EC" w14:textId="1A8F13A0"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lang w:val="en-GB"/>
              </w:rPr>
              <w:lastRenderedPageBreak/>
              <w:t xml:space="preserve">I noticed that the </w:t>
            </w:r>
            <w:proofErr w:type="gramStart"/>
            <w:r w:rsidRPr="00F068C8">
              <w:rPr>
                <w:rFonts w:ascii="Calibri" w:hAnsi="Calibri" w:cs="Calibri"/>
                <w:color w:val="002060"/>
                <w:sz w:val="20"/>
                <w:szCs w:val="20"/>
                <w:lang w:val="en-GB"/>
              </w:rPr>
              <w:t>Young</w:t>
            </w:r>
            <w:proofErr w:type="gramEnd"/>
            <w:r w:rsidRPr="00F068C8">
              <w:rPr>
                <w:rFonts w:ascii="Calibri" w:hAnsi="Calibri" w:cs="Calibri"/>
                <w:color w:val="002060"/>
                <w:sz w:val="20"/>
                <w:szCs w:val="20"/>
                <w:lang w:val="en-GB"/>
              </w:rPr>
              <w:t xml:space="preserve"> innovators Council was mentioned in the Business Plan do you intend on building on the work that you have done with future customers?</w:t>
            </w:r>
          </w:p>
        </w:tc>
        <w:tc>
          <w:tcPr>
            <w:tcW w:w="5790" w:type="dxa"/>
          </w:tcPr>
          <w:p w14:paraId="7DF0B45E" w14:textId="77777777"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Our active industry-leading Citizens Panel and YIC are</w:t>
            </w:r>
          </w:p>
          <w:p w14:paraId="55590AD2" w14:textId="164472C9"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highlights of our engagement programme, helping us to understand the needs of customers, consumers and future customers. Issues like our transition to net zero will profoundly affect young people in the years to come and the Young Innovators Council will continue to be integral to helping us understand the challenges and give them a voice in the decisions we are making that will affect them over the next five years.</w:t>
            </w:r>
          </w:p>
        </w:tc>
      </w:tr>
      <w:tr w:rsidR="00F068C8" w:rsidRPr="00F068C8" w14:paraId="1E431E28" w14:textId="77777777" w:rsidTr="00F94CF2">
        <w:trPr>
          <w:trHeight w:val="300"/>
        </w:trPr>
        <w:tc>
          <w:tcPr>
            <w:tcW w:w="9465" w:type="dxa"/>
            <w:gridSpan w:val="2"/>
            <w:shd w:val="clear" w:color="auto" w:fill="002060"/>
          </w:tcPr>
          <w:p w14:paraId="1A03C902" w14:textId="3CA7DE25" w:rsidR="00F068C8" w:rsidRPr="00F068C8" w:rsidRDefault="00F068C8" w:rsidP="00F068C8">
            <w:pPr>
              <w:rPr>
                <w:rFonts w:ascii="Calibri" w:hAnsi="Calibri" w:cs="Calibri"/>
                <w:b/>
                <w:bCs/>
                <w:color w:val="002060"/>
                <w:sz w:val="20"/>
                <w:szCs w:val="20"/>
              </w:rPr>
            </w:pPr>
            <w:r w:rsidRPr="00F94CF2">
              <w:rPr>
                <w:rFonts w:ascii="Calibri" w:hAnsi="Calibri" w:cs="Calibri"/>
                <w:b/>
                <w:bCs/>
                <w:color w:val="FFFFFF" w:themeColor="background1"/>
                <w:sz w:val="20"/>
                <w:szCs w:val="20"/>
              </w:rPr>
              <w:t>Cyber Resilience</w:t>
            </w:r>
          </w:p>
        </w:tc>
      </w:tr>
      <w:tr w:rsidR="00F068C8" w:rsidRPr="00F068C8" w14:paraId="6D473DC7" w14:textId="77777777" w:rsidTr="3AF2DC9A">
        <w:trPr>
          <w:trHeight w:val="300"/>
        </w:trPr>
        <w:tc>
          <w:tcPr>
            <w:tcW w:w="3675" w:type="dxa"/>
          </w:tcPr>
          <w:p w14:paraId="72C02EBE" w14:textId="2E805157"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The business plan refers to cyber security monitoring - please confirm this embraces more pro-active strategies for both IT and mature OT systems?</w:t>
            </w:r>
          </w:p>
        </w:tc>
        <w:tc>
          <w:tcPr>
            <w:tcW w:w="5790" w:type="dxa"/>
          </w:tcPr>
          <w:p w14:paraId="51CE2AA8" w14:textId="0FCF7E43"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 xml:space="preserve">We operate very close to the guidance that's provided through the directive and through Ofgem. Those strategic elements are covered in that plan and will continue to be covered going forward, consistent with the framework that Ofgem has set up. </w:t>
            </w:r>
          </w:p>
        </w:tc>
      </w:tr>
      <w:tr w:rsidR="00F068C8" w:rsidRPr="00F068C8" w14:paraId="33EA21B5" w14:textId="77777777" w:rsidTr="3AF2DC9A">
        <w:trPr>
          <w:trHeight w:val="300"/>
        </w:trPr>
        <w:tc>
          <w:tcPr>
            <w:tcW w:w="3675" w:type="dxa"/>
          </w:tcPr>
          <w:p w14:paraId="453441B0" w14:textId="16B999A9"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lang w:val="en-GB"/>
              </w:rPr>
              <w:t xml:space="preserve">Regarding Cyber and resilience. The RIIO-GD2 IT and Cyber Security plan was made available, will the GD3 Cyber plan be published as well, and if so, do you know when this will be? </w:t>
            </w:r>
          </w:p>
        </w:tc>
        <w:tc>
          <w:tcPr>
            <w:tcW w:w="5790" w:type="dxa"/>
          </w:tcPr>
          <w:p w14:paraId="00C8D6EE" w14:textId="53AB0431"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rPr>
              <w:t xml:space="preserve">In relation to cybersecurity, what hasn't already been published in the plan will be added once approved by Ofgem, and any security concerns have been cleared. </w:t>
            </w:r>
            <w:r w:rsidRPr="00F068C8">
              <w:rPr>
                <w:rFonts w:ascii="Calibri" w:hAnsi="Calibri" w:cs="Calibri"/>
                <w:color w:val="002060"/>
                <w:sz w:val="20"/>
                <w:szCs w:val="20"/>
                <w:lang w:val="en-GB"/>
              </w:rPr>
              <w:t>We've been as transparent as possible, but we do also have to comply with security governance and making sure that certain information isn't made publicly available for security reasons.</w:t>
            </w:r>
          </w:p>
        </w:tc>
      </w:tr>
      <w:tr w:rsidR="00F068C8" w:rsidRPr="00F068C8" w14:paraId="6078BAFD" w14:textId="77777777" w:rsidTr="00F94CF2">
        <w:trPr>
          <w:trHeight w:val="300"/>
        </w:trPr>
        <w:tc>
          <w:tcPr>
            <w:tcW w:w="9465" w:type="dxa"/>
            <w:gridSpan w:val="2"/>
            <w:shd w:val="clear" w:color="auto" w:fill="002060"/>
          </w:tcPr>
          <w:p w14:paraId="619306CC" w14:textId="6E10145E" w:rsidR="00F068C8" w:rsidRPr="00F068C8" w:rsidRDefault="00F068C8" w:rsidP="00F068C8">
            <w:pPr>
              <w:rPr>
                <w:rFonts w:ascii="Calibri" w:hAnsi="Calibri" w:cs="Calibri"/>
                <w:b/>
                <w:bCs/>
                <w:color w:val="002060"/>
                <w:sz w:val="20"/>
                <w:szCs w:val="20"/>
              </w:rPr>
            </w:pPr>
            <w:r w:rsidRPr="00F94CF2">
              <w:rPr>
                <w:rFonts w:ascii="Calibri" w:hAnsi="Calibri" w:cs="Calibri"/>
                <w:b/>
                <w:bCs/>
                <w:color w:val="FFFFFF" w:themeColor="background1"/>
                <w:sz w:val="20"/>
                <w:szCs w:val="20"/>
              </w:rPr>
              <w:t>Pipe Replacement Programme</w:t>
            </w:r>
          </w:p>
        </w:tc>
      </w:tr>
      <w:tr w:rsidR="00F068C8" w:rsidRPr="00F068C8" w14:paraId="223CFDC1" w14:textId="77777777" w:rsidTr="3AF2DC9A">
        <w:trPr>
          <w:trHeight w:val="300"/>
        </w:trPr>
        <w:tc>
          <w:tcPr>
            <w:tcW w:w="3675" w:type="dxa"/>
          </w:tcPr>
          <w:p w14:paraId="0B4733D8" w14:textId="26705F4E" w:rsidR="00F068C8" w:rsidRPr="00F068C8" w:rsidRDefault="00F068C8" w:rsidP="00F068C8">
            <w:pPr>
              <w:rPr>
                <w:rFonts w:ascii="Calibri" w:hAnsi="Calibri" w:cs="Calibri"/>
                <w:color w:val="002060"/>
                <w:sz w:val="20"/>
                <w:szCs w:val="20"/>
                <w:lang w:val="en-GB"/>
              </w:rPr>
            </w:pPr>
            <w:r w:rsidRPr="00F068C8">
              <w:rPr>
                <w:rFonts w:ascii="Calibri" w:hAnsi="Calibri" w:cs="Calibri"/>
                <w:color w:val="002060"/>
                <w:sz w:val="20"/>
                <w:szCs w:val="20"/>
                <w:lang w:val="en-GB"/>
              </w:rPr>
              <w:t>Do NGN have any forecast visibility yet in terms of proposed activity levels in GD3 v GD2 in Tier 1, 2 and 3 replacement programmes?</w:t>
            </w:r>
          </w:p>
        </w:tc>
        <w:tc>
          <w:tcPr>
            <w:tcW w:w="5790" w:type="dxa"/>
          </w:tcPr>
          <w:p w14:paraId="459C8F94" w14:textId="76097F4A" w:rsidR="00F068C8" w:rsidRPr="00F068C8" w:rsidRDefault="00F068C8" w:rsidP="00F068C8">
            <w:pPr>
              <w:rPr>
                <w:rFonts w:ascii="Calibri" w:hAnsi="Calibri" w:cs="Calibri"/>
                <w:color w:val="002060"/>
                <w:sz w:val="20"/>
                <w:szCs w:val="20"/>
              </w:rPr>
            </w:pPr>
            <w:r w:rsidRPr="00F068C8">
              <w:rPr>
                <w:rFonts w:ascii="Calibri" w:hAnsi="Calibri" w:cs="Calibri"/>
                <w:color w:val="002060"/>
                <w:sz w:val="20"/>
                <w:szCs w:val="20"/>
              </w:rPr>
              <w:t>The Repex workload from GD2 to GD3 will remain consistent. For further details on workload this information can be found in Chapter 6 of our business plan as well as our business plan data tables.</w:t>
            </w:r>
          </w:p>
        </w:tc>
      </w:tr>
    </w:tbl>
    <w:p w14:paraId="125E4310" w14:textId="753A2011" w:rsidR="25841B43" w:rsidRDefault="25841B43"/>
    <w:sectPr w:rsidR="25841B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ZzbVfbQxohPsEp" int2:id="72uyk6Xn">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60E35"/>
    <w:multiLevelType w:val="multilevel"/>
    <w:tmpl w:val="6B261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8902E05"/>
    <w:multiLevelType w:val="multilevel"/>
    <w:tmpl w:val="5AC25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6B6069"/>
    <w:multiLevelType w:val="multilevel"/>
    <w:tmpl w:val="B002C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D853E0B"/>
    <w:multiLevelType w:val="multilevel"/>
    <w:tmpl w:val="F2B80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7886BF2"/>
    <w:multiLevelType w:val="multilevel"/>
    <w:tmpl w:val="BD2820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E316289"/>
    <w:multiLevelType w:val="multilevel"/>
    <w:tmpl w:val="E9BEC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6124670"/>
    <w:multiLevelType w:val="multilevel"/>
    <w:tmpl w:val="01FC5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DE10FE4"/>
    <w:multiLevelType w:val="multilevel"/>
    <w:tmpl w:val="99AA7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75F5860"/>
    <w:multiLevelType w:val="multilevel"/>
    <w:tmpl w:val="547A5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D854186"/>
    <w:multiLevelType w:val="multilevel"/>
    <w:tmpl w:val="68DA02B4"/>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0" w15:restartNumberingAfterBreak="0">
    <w:nsid w:val="7F721C08"/>
    <w:multiLevelType w:val="multilevel"/>
    <w:tmpl w:val="29F06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60815664">
    <w:abstractNumId w:val="2"/>
  </w:num>
  <w:num w:numId="2" w16cid:durableId="465509011">
    <w:abstractNumId w:val="3"/>
  </w:num>
  <w:num w:numId="3" w16cid:durableId="120156463">
    <w:abstractNumId w:val="5"/>
  </w:num>
  <w:num w:numId="4" w16cid:durableId="1799105223">
    <w:abstractNumId w:val="0"/>
  </w:num>
  <w:num w:numId="5" w16cid:durableId="1754234839">
    <w:abstractNumId w:val="8"/>
  </w:num>
  <w:num w:numId="6" w16cid:durableId="1793858797">
    <w:abstractNumId w:val="10"/>
  </w:num>
  <w:num w:numId="7" w16cid:durableId="1427924147">
    <w:abstractNumId w:val="1"/>
  </w:num>
  <w:num w:numId="8" w16cid:durableId="53237284">
    <w:abstractNumId w:val="6"/>
  </w:num>
  <w:num w:numId="9" w16cid:durableId="1275282461">
    <w:abstractNumId w:val="7"/>
  </w:num>
  <w:num w:numId="10" w16cid:durableId="14960963">
    <w:abstractNumId w:val="4"/>
  </w:num>
  <w:num w:numId="11" w16cid:durableId="504284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3A87931"/>
    <w:rsid w:val="00027253"/>
    <w:rsid w:val="000344B9"/>
    <w:rsid w:val="0008204B"/>
    <w:rsid w:val="000C183B"/>
    <w:rsid w:val="000F5970"/>
    <w:rsid w:val="00122332"/>
    <w:rsid w:val="00130C7A"/>
    <w:rsid w:val="001451CA"/>
    <w:rsid w:val="0014634C"/>
    <w:rsid w:val="001A3F02"/>
    <w:rsid w:val="001B2B46"/>
    <w:rsid w:val="00206A14"/>
    <w:rsid w:val="00210EED"/>
    <w:rsid w:val="00227481"/>
    <w:rsid w:val="00245642"/>
    <w:rsid w:val="00263065"/>
    <w:rsid w:val="00271CE9"/>
    <w:rsid w:val="00272754"/>
    <w:rsid w:val="00290CCC"/>
    <w:rsid w:val="002B7FDE"/>
    <w:rsid w:val="002E315D"/>
    <w:rsid w:val="00317C48"/>
    <w:rsid w:val="00334C6E"/>
    <w:rsid w:val="0035461C"/>
    <w:rsid w:val="00360FC2"/>
    <w:rsid w:val="0037519C"/>
    <w:rsid w:val="003B2A7D"/>
    <w:rsid w:val="003B7A46"/>
    <w:rsid w:val="003D1195"/>
    <w:rsid w:val="004575AB"/>
    <w:rsid w:val="004970A8"/>
    <w:rsid w:val="004C787E"/>
    <w:rsid w:val="005204B5"/>
    <w:rsid w:val="005323FE"/>
    <w:rsid w:val="00576965"/>
    <w:rsid w:val="005A170E"/>
    <w:rsid w:val="005B5300"/>
    <w:rsid w:val="005D2821"/>
    <w:rsid w:val="0064211C"/>
    <w:rsid w:val="00685680"/>
    <w:rsid w:val="006A436F"/>
    <w:rsid w:val="006E164D"/>
    <w:rsid w:val="006F6EAE"/>
    <w:rsid w:val="007168B7"/>
    <w:rsid w:val="0072787B"/>
    <w:rsid w:val="00732F04"/>
    <w:rsid w:val="00733870"/>
    <w:rsid w:val="00735914"/>
    <w:rsid w:val="007562A9"/>
    <w:rsid w:val="00763159"/>
    <w:rsid w:val="00774548"/>
    <w:rsid w:val="007A5142"/>
    <w:rsid w:val="007A649F"/>
    <w:rsid w:val="007E4A56"/>
    <w:rsid w:val="007F2510"/>
    <w:rsid w:val="008163C5"/>
    <w:rsid w:val="00817B63"/>
    <w:rsid w:val="00830875"/>
    <w:rsid w:val="008569E9"/>
    <w:rsid w:val="00871EB1"/>
    <w:rsid w:val="00931116"/>
    <w:rsid w:val="00953571"/>
    <w:rsid w:val="00977CD5"/>
    <w:rsid w:val="00986797"/>
    <w:rsid w:val="009A46F3"/>
    <w:rsid w:val="009C64EF"/>
    <w:rsid w:val="00A31DDC"/>
    <w:rsid w:val="00A71EFE"/>
    <w:rsid w:val="00AA415C"/>
    <w:rsid w:val="00AC22C7"/>
    <w:rsid w:val="00AE25CC"/>
    <w:rsid w:val="00B06ABA"/>
    <w:rsid w:val="00B17D87"/>
    <w:rsid w:val="00B30717"/>
    <w:rsid w:val="00B53654"/>
    <w:rsid w:val="00B5552B"/>
    <w:rsid w:val="00B56AED"/>
    <w:rsid w:val="00B66CCC"/>
    <w:rsid w:val="00B94111"/>
    <w:rsid w:val="00BC4103"/>
    <w:rsid w:val="00BD40AB"/>
    <w:rsid w:val="00BE1771"/>
    <w:rsid w:val="00BE3D5D"/>
    <w:rsid w:val="00C15FCC"/>
    <w:rsid w:val="00C3331A"/>
    <w:rsid w:val="00C3641A"/>
    <w:rsid w:val="00CB2935"/>
    <w:rsid w:val="00CB65CC"/>
    <w:rsid w:val="00CC2DFB"/>
    <w:rsid w:val="00CE66BE"/>
    <w:rsid w:val="00CF4BEF"/>
    <w:rsid w:val="00D15E5F"/>
    <w:rsid w:val="00D31A9A"/>
    <w:rsid w:val="00D40122"/>
    <w:rsid w:val="00D81187"/>
    <w:rsid w:val="00D86CB3"/>
    <w:rsid w:val="00DB6733"/>
    <w:rsid w:val="00DC67C2"/>
    <w:rsid w:val="00E0524E"/>
    <w:rsid w:val="00E10972"/>
    <w:rsid w:val="00E14F43"/>
    <w:rsid w:val="00E96230"/>
    <w:rsid w:val="00EB6D6A"/>
    <w:rsid w:val="00EE1C05"/>
    <w:rsid w:val="00F068C8"/>
    <w:rsid w:val="00F22549"/>
    <w:rsid w:val="00F355FA"/>
    <w:rsid w:val="00F87B61"/>
    <w:rsid w:val="00F94CF2"/>
    <w:rsid w:val="00FA41AC"/>
    <w:rsid w:val="00FC6F60"/>
    <w:rsid w:val="00FD0ACA"/>
    <w:rsid w:val="00FF4F0C"/>
    <w:rsid w:val="010355E3"/>
    <w:rsid w:val="013C7196"/>
    <w:rsid w:val="01E2DDEB"/>
    <w:rsid w:val="02D02478"/>
    <w:rsid w:val="02E2E399"/>
    <w:rsid w:val="04B0ABA1"/>
    <w:rsid w:val="0550D6C4"/>
    <w:rsid w:val="05CF7BD2"/>
    <w:rsid w:val="0630120C"/>
    <w:rsid w:val="067DFABF"/>
    <w:rsid w:val="07B253E4"/>
    <w:rsid w:val="09F48D31"/>
    <w:rsid w:val="0A795201"/>
    <w:rsid w:val="0AA3DA85"/>
    <w:rsid w:val="0AAA30F5"/>
    <w:rsid w:val="0B75460B"/>
    <w:rsid w:val="0B97E9D5"/>
    <w:rsid w:val="0E8C1DEF"/>
    <w:rsid w:val="0FA4D25F"/>
    <w:rsid w:val="10D2888C"/>
    <w:rsid w:val="1120C75A"/>
    <w:rsid w:val="11A3F7EE"/>
    <w:rsid w:val="11E0406B"/>
    <w:rsid w:val="1219AD11"/>
    <w:rsid w:val="13229DF1"/>
    <w:rsid w:val="13F60A84"/>
    <w:rsid w:val="14D382D9"/>
    <w:rsid w:val="156DD0B0"/>
    <w:rsid w:val="186919C5"/>
    <w:rsid w:val="19233C73"/>
    <w:rsid w:val="1AA96A3D"/>
    <w:rsid w:val="1AB856BD"/>
    <w:rsid w:val="1B8CA7B8"/>
    <w:rsid w:val="1C5149A2"/>
    <w:rsid w:val="1CBA21F0"/>
    <w:rsid w:val="1CBC6529"/>
    <w:rsid w:val="1F15672B"/>
    <w:rsid w:val="1F2F68E3"/>
    <w:rsid w:val="1F64BAE7"/>
    <w:rsid w:val="1F6ABCDA"/>
    <w:rsid w:val="209B3058"/>
    <w:rsid w:val="214FC498"/>
    <w:rsid w:val="229F76ED"/>
    <w:rsid w:val="24D72A6D"/>
    <w:rsid w:val="25841B43"/>
    <w:rsid w:val="25D35468"/>
    <w:rsid w:val="2695AB10"/>
    <w:rsid w:val="26F02069"/>
    <w:rsid w:val="27936F42"/>
    <w:rsid w:val="27B10F92"/>
    <w:rsid w:val="284990DF"/>
    <w:rsid w:val="28F8E276"/>
    <w:rsid w:val="29031943"/>
    <w:rsid w:val="294B5E87"/>
    <w:rsid w:val="29B15242"/>
    <w:rsid w:val="2D2AAE04"/>
    <w:rsid w:val="2D5E46BA"/>
    <w:rsid w:val="2E815AF4"/>
    <w:rsid w:val="2F52E919"/>
    <w:rsid w:val="30B63A5B"/>
    <w:rsid w:val="3104B368"/>
    <w:rsid w:val="3163CA36"/>
    <w:rsid w:val="31AB35DF"/>
    <w:rsid w:val="323EFFE0"/>
    <w:rsid w:val="32881FF8"/>
    <w:rsid w:val="32F251C0"/>
    <w:rsid w:val="331F9A15"/>
    <w:rsid w:val="33686F22"/>
    <w:rsid w:val="338A5634"/>
    <w:rsid w:val="33A87931"/>
    <w:rsid w:val="33B47CF8"/>
    <w:rsid w:val="35CEB156"/>
    <w:rsid w:val="3615E3F2"/>
    <w:rsid w:val="36667631"/>
    <w:rsid w:val="37A22011"/>
    <w:rsid w:val="382A9467"/>
    <w:rsid w:val="3895A48C"/>
    <w:rsid w:val="3997341F"/>
    <w:rsid w:val="39EFB471"/>
    <w:rsid w:val="3A724F05"/>
    <w:rsid w:val="3AC5F41E"/>
    <w:rsid w:val="3AF2DC9A"/>
    <w:rsid w:val="3D1FCACD"/>
    <w:rsid w:val="3EC897FE"/>
    <w:rsid w:val="402B1EEB"/>
    <w:rsid w:val="405515C4"/>
    <w:rsid w:val="406CD9A5"/>
    <w:rsid w:val="40D21E8A"/>
    <w:rsid w:val="433F704B"/>
    <w:rsid w:val="439AB8B6"/>
    <w:rsid w:val="44F74665"/>
    <w:rsid w:val="4524E777"/>
    <w:rsid w:val="463FD4E1"/>
    <w:rsid w:val="46B54BC9"/>
    <w:rsid w:val="476375AF"/>
    <w:rsid w:val="476BEB1F"/>
    <w:rsid w:val="47A4F2E8"/>
    <w:rsid w:val="47EF38D2"/>
    <w:rsid w:val="48590F8E"/>
    <w:rsid w:val="4A070DCD"/>
    <w:rsid w:val="4B0DC8EC"/>
    <w:rsid w:val="4BB9BD68"/>
    <w:rsid w:val="4FC7E56D"/>
    <w:rsid w:val="50676073"/>
    <w:rsid w:val="5136DCF3"/>
    <w:rsid w:val="51CD073A"/>
    <w:rsid w:val="52D3A986"/>
    <w:rsid w:val="52FAA5F0"/>
    <w:rsid w:val="53E37D7B"/>
    <w:rsid w:val="542BB585"/>
    <w:rsid w:val="54ED9D39"/>
    <w:rsid w:val="54F4DF98"/>
    <w:rsid w:val="556C0625"/>
    <w:rsid w:val="563E2D47"/>
    <w:rsid w:val="56981BA3"/>
    <w:rsid w:val="57124004"/>
    <w:rsid w:val="572177FB"/>
    <w:rsid w:val="5754712A"/>
    <w:rsid w:val="57D3FFDE"/>
    <w:rsid w:val="583C1171"/>
    <w:rsid w:val="59D1E4AF"/>
    <w:rsid w:val="59F350AD"/>
    <w:rsid w:val="5A52AD08"/>
    <w:rsid w:val="5AD73321"/>
    <w:rsid w:val="5B42D9B1"/>
    <w:rsid w:val="5BCBC20B"/>
    <w:rsid w:val="5D8A396E"/>
    <w:rsid w:val="5DEF8DE1"/>
    <w:rsid w:val="5DFDCF11"/>
    <w:rsid w:val="5F4CDACE"/>
    <w:rsid w:val="5FCE8903"/>
    <w:rsid w:val="5FCF3F42"/>
    <w:rsid w:val="62A03795"/>
    <w:rsid w:val="63C403F3"/>
    <w:rsid w:val="649DDF2F"/>
    <w:rsid w:val="674AC45B"/>
    <w:rsid w:val="67960AC7"/>
    <w:rsid w:val="680959BF"/>
    <w:rsid w:val="680B38CF"/>
    <w:rsid w:val="68133AF0"/>
    <w:rsid w:val="68489B41"/>
    <w:rsid w:val="685C2285"/>
    <w:rsid w:val="69BD97A9"/>
    <w:rsid w:val="69CA24D3"/>
    <w:rsid w:val="69F235BA"/>
    <w:rsid w:val="6A640372"/>
    <w:rsid w:val="6A9CEB96"/>
    <w:rsid w:val="6AC2CCAB"/>
    <w:rsid w:val="6ADAE649"/>
    <w:rsid w:val="6B6722D4"/>
    <w:rsid w:val="6D700160"/>
    <w:rsid w:val="6D81DC69"/>
    <w:rsid w:val="6DD445E1"/>
    <w:rsid w:val="6E6674B2"/>
    <w:rsid w:val="6F1B496C"/>
    <w:rsid w:val="6FA91568"/>
    <w:rsid w:val="700118C7"/>
    <w:rsid w:val="7257B2D8"/>
    <w:rsid w:val="72C9354D"/>
    <w:rsid w:val="734E7613"/>
    <w:rsid w:val="735B5DE7"/>
    <w:rsid w:val="742FDE5D"/>
    <w:rsid w:val="74A01ECD"/>
    <w:rsid w:val="752BD4EB"/>
    <w:rsid w:val="75C22CD7"/>
    <w:rsid w:val="76BAB189"/>
    <w:rsid w:val="77D34EE5"/>
    <w:rsid w:val="78B7B619"/>
    <w:rsid w:val="7BC229F8"/>
    <w:rsid w:val="7BF4C4C7"/>
    <w:rsid w:val="7CF1CA02"/>
    <w:rsid w:val="7F01F1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A87931"/>
  <w15:chartTrackingRefBased/>
  <w15:docId w15:val="{57C6C96C-A8CD-4C84-93F5-2B0D66D7F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685680"/>
    <w:rPr>
      <w:color w:val="467886"/>
      <w:u w:val="single"/>
    </w:rPr>
  </w:style>
  <w:style w:type="character" w:styleId="Mention">
    <w:name w:val="Mention"/>
    <w:basedOn w:val="DefaultParagraphFont"/>
    <w:uiPriority w:val="99"/>
    <w:unhideWhenUsed/>
    <w:rsid w:val="00685680"/>
    <w:rPr>
      <w:color w:val="2B579A"/>
    </w:rPr>
  </w:style>
  <w:style w:type="paragraph" w:styleId="ListParagraph">
    <w:name w:val="List Paragraph"/>
    <w:basedOn w:val="Normal"/>
    <w:uiPriority w:val="34"/>
    <w:qFormat/>
    <w:rsid w:val="0068568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5825254">
      <w:bodyDiv w:val="1"/>
      <w:marLeft w:val="0"/>
      <w:marRight w:val="0"/>
      <w:marTop w:val="0"/>
      <w:marBottom w:val="0"/>
      <w:divBdr>
        <w:top w:val="none" w:sz="0" w:space="0" w:color="auto"/>
        <w:left w:val="none" w:sz="0" w:space="0" w:color="auto"/>
        <w:bottom w:val="none" w:sz="0" w:space="0" w:color="auto"/>
        <w:right w:val="none" w:sz="0" w:space="0" w:color="auto"/>
      </w:divBdr>
      <w:divsChild>
        <w:div w:id="423838208">
          <w:marLeft w:val="0"/>
          <w:marRight w:val="0"/>
          <w:marTop w:val="0"/>
          <w:marBottom w:val="0"/>
          <w:divBdr>
            <w:top w:val="none" w:sz="0" w:space="0" w:color="auto"/>
            <w:left w:val="none" w:sz="0" w:space="0" w:color="auto"/>
            <w:bottom w:val="none" w:sz="0" w:space="0" w:color="auto"/>
            <w:right w:val="none" w:sz="0" w:space="0" w:color="auto"/>
          </w:divBdr>
        </w:div>
      </w:divsChild>
    </w:div>
    <w:div w:id="341250340">
      <w:bodyDiv w:val="1"/>
      <w:marLeft w:val="0"/>
      <w:marRight w:val="0"/>
      <w:marTop w:val="0"/>
      <w:marBottom w:val="0"/>
      <w:divBdr>
        <w:top w:val="none" w:sz="0" w:space="0" w:color="auto"/>
        <w:left w:val="none" w:sz="0" w:space="0" w:color="auto"/>
        <w:bottom w:val="none" w:sz="0" w:space="0" w:color="auto"/>
        <w:right w:val="none" w:sz="0" w:space="0" w:color="auto"/>
      </w:divBdr>
      <w:divsChild>
        <w:div w:id="1537696915">
          <w:marLeft w:val="0"/>
          <w:marRight w:val="0"/>
          <w:marTop w:val="0"/>
          <w:marBottom w:val="0"/>
          <w:divBdr>
            <w:top w:val="none" w:sz="0" w:space="0" w:color="auto"/>
            <w:left w:val="none" w:sz="0" w:space="0" w:color="auto"/>
            <w:bottom w:val="none" w:sz="0" w:space="0" w:color="auto"/>
            <w:right w:val="none" w:sz="0" w:space="0" w:color="auto"/>
          </w:divBdr>
        </w:div>
      </w:divsChild>
    </w:div>
    <w:div w:id="466052809">
      <w:bodyDiv w:val="1"/>
      <w:marLeft w:val="0"/>
      <w:marRight w:val="0"/>
      <w:marTop w:val="0"/>
      <w:marBottom w:val="0"/>
      <w:divBdr>
        <w:top w:val="none" w:sz="0" w:space="0" w:color="auto"/>
        <w:left w:val="none" w:sz="0" w:space="0" w:color="auto"/>
        <w:bottom w:val="none" w:sz="0" w:space="0" w:color="auto"/>
        <w:right w:val="none" w:sz="0" w:space="0" w:color="auto"/>
      </w:divBdr>
      <w:divsChild>
        <w:div w:id="11034441">
          <w:marLeft w:val="0"/>
          <w:marRight w:val="0"/>
          <w:marTop w:val="0"/>
          <w:marBottom w:val="0"/>
          <w:divBdr>
            <w:top w:val="none" w:sz="0" w:space="0" w:color="auto"/>
            <w:left w:val="none" w:sz="0" w:space="0" w:color="auto"/>
            <w:bottom w:val="none" w:sz="0" w:space="0" w:color="auto"/>
            <w:right w:val="none" w:sz="0" w:space="0" w:color="auto"/>
          </w:divBdr>
        </w:div>
      </w:divsChild>
    </w:div>
    <w:div w:id="485703662">
      <w:bodyDiv w:val="1"/>
      <w:marLeft w:val="0"/>
      <w:marRight w:val="0"/>
      <w:marTop w:val="0"/>
      <w:marBottom w:val="0"/>
      <w:divBdr>
        <w:top w:val="none" w:sz="0" w:space="0" w:color="auto"/>
        <w:left w:val="none" w:sz="0" w:space="0" w:color="auto"/>
        <w:bottom w:val="none" w:sz="0" w:space="0" w:color="auto"/>
        <w:right w:val="none" w:sz="0" w:space="0" w:color="auto"/>
      </w:divBdr>
    </w:div>
    <w:div w:id="488909990">
      <w:bodyDiv w:val="1"/>
      <w:marLeft w:val="0"/>
      <w:marRight w:val="0"/>
      <w:marTop w:val="0"/>
      <w:marBottom w:val="0"/>
      <w:divBdr>
        <w:top w:val="none" w:sz="0" w:space="0" w:color="auto"/>
        <w:left w:val="none" w:sz="0" w:space="0" w:color="auto"/>
        <w:bottom w:val="none" w:sz="0" w:space="0" w:color="auto"/>
        <w:right w:val="none" w:sz="0" w:space="0" w:color="auto"/>
      </w:divBdr>
    </w:div>
    <w:div w:id="557981215">
      <w:bodyDiv w:val="1"/>
      <w:marLeft w:val="0"/>
      <w:marRight w:val="0"/>
      <w:marTop w:val="0"/>
      <w:marBottom w:val="0"/>
      <w:divBdr>
        <w:top w:val="none" w:sz="0" w:space="0" w:color="auto"/>
        <w:left w:val="none" w:sz="0" w:space="0" w:color="auto"/>
        <w:bottom w:val="none" w:sz="0" w:space="0" w:color="auto"/>
        <w:right w:val="none" w:sz="0" w:space="0" w:color="auto"/>
      </w:divBdr>
    </w:div>
    <w:div w:id="668413145">
      <w:bodyDiv w:val="1"/>
      <w:marLeft w:val="0"/>
      <w:marRight w:val="0"/>
      <w:marTop w:val="0"/>
      <w:marBottom w:val="0"/>
      <w:divBdr>
        <w:top w:val="none" w:sz="0" w:space="0" w:color="auto"/>
        <w:left w:val="none" w:sz="0" w:space="0" w:color="auto"/>
        <w:bottom w:val="none" w:sz="0" w:space="0" w:color="auto"/>
        <w:right w:val="none" w:sz="0" w:space="0" w:color="auto"/>
      </w:divBdr>
      <w:divsChild>
        <w:div w:id="1146118462">
          <w:marLeft w:val="0"/>
          <w:marRight w:val="0"/>
          <w:marTop w:val="0"/>
          <w:marBottom w:val="0"/>
          <w:divBdr>
            <w:top w:val="none" w:sz="0" w:space="0" w:color="auto"/>
            <w:left w:val="none" w:sz="0" w:space="0" w:color="auto"/>
            <w:bottom w:val="none" w:sz="0" w:space="0" w:color="auto"/>
            <w:right w:val="none" w:sz="0" w:space="0" w:color="auto"/>
          </w:divBdr>
        </w:div>
      </w:divsChild>
    </w:div>
    <w:div w:id="700134753">
      <w:bodyDiv w:val="1"/>
      <w:marLeft w:val="0"/>
      <w:marRight w:val="0"/>
      <w:marTop w:val="0"/>
      <w:marBottom w:val="0"/>
      <w:divBdr>
        <w:top w:val="none" w:sz="0" w:space="0" w:color="auto"/>
        <w:left w:val="none" w:sz="0" w:space="0" w:color="auto"/>
        <w:bottom w:val="none" w:sz="0" w:space="0" w:color="auto"/>
        <w:right w:val="none" w:sz="0" w:space="0" w:color="auto"/>
      </w:divBdr>
      <w:divsChild>
        <w:div w:id="1790514532">
          <w:marLeft w:val="0"/>
          <w:marRight w:val="0"/>
          <w:marTop w:val="0"/>
          <w:marBottom w:val="0"/>
          <w:divBdr>
            <w:top w:val="none" w:sz="0" w:space="0" w:color="auto"/>
            <w:left w:val="none" w:sz="0" w:space="0" w:color="auto"/>
            <w:bottom w:val="none" w:sz="0" w:space="0" w:color="auto"/>
            <w:right w:val="none" w:sz="0" w:space="0" w:color="auto"/>
          </w:divBdr>
        </w:div>
      </w:divsChild>
    </w:div>
    <w:div w:id="889417481">
      <w:bodyDiv w:val="1"/>
      <w:marLeft w:val="0"/>
      <w:marRight w:val="0"/>
      <w:marTop w:val="0"/>
      <w:marBottom w:val="0"/>
      <w:divBdr>
        <w:top w:val="none" w:sz="0" w:space="0" w:color="auto"/>
        <w:left w:val="none" w:sz="0" w:space="0" w:color="auto"/>
        <w:bottom w:val="none" w:sz="0" w:space="0" w:color="auto"/>
        <w:right w:val="none" w:sz="0" w:space="0" w:color="auto"/>
      </w:divBdr>
    </w:div>
    <w:div w:id="1048844833">
      <w:bodyDiv w:val="1"/>
      <w:marLeft w:val="0"/>
      <w:marRight w:val="0"/>
      <w:marTop w:val="0"/>
      <w:marBottom w:val="0"/>
      <w:divBdr>
        <w:top w:val="none" w:sz="0" w:space="0" w:color="auto"/>
        <w:left w:val="none" w:sz="0" w:space="0" w:color="auto"/>
        <w:bottom w:val="none" w:sz="0" w:space="0" w:color="auto"/>
        <w:right w:val="none" w:sz="0" w:space="0" w:color="auto"/>
      </w:divBdr>
    </w:div>
    <w:div w:id="1108044296">
      <w:bodyDiv w:val="1"/>
      <w:marLeft w:val="0"/>
      <w:marRight w:val="0"/>
      <w:marTop w:val="0"/>
      <w:marBottom w:val="0"/>
      <w:divBdr>
        <w:top w:val="none" w:sz="0" w:space="0" w:color="auto"/>
        <w:left w:val="none" w:sz="0" w:space="0" w:color="auto"/>
        <w:bottom w:val="none" w:sz="0" w:space="0" w:color="auto"/>
        <w:right w:val="none" w:sz="0" w:space="0" w:color="auto"/>
      </w:divBdr>
    </w:div>
    <w:div w:id="1272199801">
      <w:bodyDiv w:val="1"/>
      <w:marLeft w:val="0"/>
      <w:marRight w:val="0"/>
      <w:marTop w:val="0"/>
      <w:marBottom w:val="0"/>
      <w:divBdr>
        <w:top w:val="none" w:sz="0" w:space="0" w:color="auto"/>
        <w:left w:val="none" w:sz="0" w:space="0" w:color="auto"/>
        <w:bottom w:val="none" w:sz="0" w:space="0" w:color="auto"/>
        <w:right w:val="none" w:sz="0" w:space="0" w:color="auto"/>
      </w:divBdr>
    </w:div>
    <w:div w:id="1288463962">
      <w:bodyDiv w:val="1"/>
      <w:marLeft w:val="0"/>
      <w:marRight w:val="0"/>
      <w:marTop w:val="0"/>
      <w:marBottom w:val="0"/>
      <w:divBdr>
        <w:top w:val="none" w:sz="0" w:space="0" w:color="auto"/>
        <w:left w:val="none" w:sz="0" w:space="0" w:color="auto"/>
        <w:bottom w:val="none" w:sz="0" w:space="0" w:color="auto"/>
        <w:right w:val="none" w:sz="0" w:space="0" w:color="auto"/>
      </w:divBdr>
    </w:div>
    <w:div w:id="1349527621">
      <w:bodyDiv w:val="1"/>
      <w:marLeft w:val="0"/>
      <w:marRight w:val="0"/>
      <w:marTop w:val="0"/>
      <w:marBottom w:val="0"/>
      <w:divBdr>
        <w:top w:val="none" w:sz="0" w:space="0" w:color="auto"/>
        <w:left w:val="none" w:sz="0" w:space="0" w:color="auto"/>
        <w:bottom w:val="none" w:sz="0" w:space="0" w:color="auto"/>
        <w:right w:val="none" w:sz="0" w:space="0" w:color="auto"/>
      </w:divBdr>
    </w:div>
    <w:div w:id="1417358024">
      <w:bodyDiv w:val="1"/>
      <w:marLeft w:val="0"/>
      <w:marRight w:val="0"/>
      <w:marTop w:val="0"/>
      <w:marBottom w:val="0"/>
      <w:divBdr>
        <w:top w:val="none" w:sz="0" w:space="0" w:color="auto"/>
        <w:left w:val="none" w:sz="0" w:space="0" w:color="auto"/>
        <w:bottom w:val="none" w:sz="0" w:space="0" w:color="auto"/>
        <w:right w:val="none" w:sz="0" w:space="0" w:color="auto"/>
      </w:divBdr>
    </w:div>
    <w:div w:id="1601795685">
      <w:bodyDiv w:val="1"/>
      <w:marLeft w:val="0"/>
      <w:marRight w:val="0"/>
      <w:marTop w:val="0"/>
      <w:marBottom w:val="0"/>
      <w:divBdr>
        <w:top w:val="none" w:sz="0" w:space="0" w:color="auto"/>
        <w:left w:val="none" w:sz="0" w:space="0" w:color="auto"/>
        <w:bottom w:val="none" w:sz="0" w:space="0" w:color="auto"/>
        <w:right w:val="none" w:sz="0" w:space="0" w:color="auto"/>
      </w:divBdr>
    </w:div>
    <w:div w:id="1623343691">
      <w:bodyDiv w:val="1"/>
      <w:marLeft w:val="0"/>
      <w:marRight w:val="0"/>
      <w:marTop w:val="0"/>
      <w:marBottom w:val="0"/>
      <w:divBdr>
        <w:top w:val="none" w:sz="0" w:space="0" w:color="auto"/>
        <w:left w:val="none" w:sz="0" w:space="0" w:color="auto"/>
        <w:bottom w:val="none" w:sz="0" w:space="0" w:color="auto"/>
        <w:right w:val="none" w:sz="0" w:space="0" w:color="auto"/>
      </w:divBdr>
    </w:div>
    <w:div w:id="1627195322">
      <w:bodyDiv w:val="1"/>
      <w:marLeft w:val="0"/>
      <w:marRight w:val="0"/>
      <w:marTop w:val="0"/>
      <w:marBottom w:val="0"/>
      <w:divBdr>
        <w:top w:val="none" w:sz="0" w:space="0" w:color="auto"/>
        <w:left w:val="none" w:sz="0" w:space="0" w:color="auto"/>
        <w:bottom w:val="none" w:sz="0" w:space="0" w:color="auto"/>
        <w:right w:val="none" w:sz="0" w:space="0" w:color="auto"/>
      </w:divBdr>
    </w:div>
    <w:div w:id="1655377544">
      <w:bodyDiv w:val="1"/>
      <w:marLeft w:val="0"/>
      <w:marRight w:val="0"/>
      <w:marTop w:val="0"/>
      <w:marBottom w:val="0"/>
      <w:divBdr>
        <w:top w:val="none" w:sz="0" w:space="0" w:color="auto"/>
        <w:left w:val="none" w:sz="0" w:space="0" w:color="auto"/>
        <w:bottom w:val="none" w:sz="0" w:space="0" w:color="auto"/>
        <w:right w:val="none" w:sz="0" w:space="0" w:color="auto"/>
      </w:divBdr>
    </w:div>
    <w:div w:id="1656227725">
      <w:bodyDiv w:val="1"/>
      <w:marLeft w:val="0"/>
      <w:marRight w:val="0"/>
      <w:marTop w:val="0"/>
      <w:marBottom w:val="0"/>
      <w:divBdr>
        <w:top w:val="none" w:sz="0" w:space="0" w:color="auto"/>
        <w:left w:val="none" w:sz="0" w:space="0" w:color="auto"/>
        <w:bottom w:val="none" w:sz="0" w:space="0" w:color="auto"/>
        <w:right w:val="none" w:sz="0" w:space="0" w:color="auto"/>
      </w:divBdr>
    </w:div>
    <w:div w:id="1659730133">
      <w:bodyDiv w:val="1"/>
      <w:marLeft w:val="0"/>
      <w:marRight w:val="0"/>
      <w:marTop w:val="0"/>
      <w:marBottom w:val="0"/>
      <w:divBdr>
        <w:top w:val="none" w:sz="0" w:space="0" w:color="auto"/>
        <w:left w:val="none" w:sz="0" w:space="0" w:color="auto"/>
        <w:bottom w:val="none" w:sz="0" w:space="0" w:color="auto"/>
        <w:right w:val="none" w:sz="0" w:space="0" w:color="auto"/>
      </w:divBdr>
    </w:div>
    <w:div w:id="1741561448">
      <w:bodyDiv w:val="1"/>
      <w:marLeft w:val="0"/>
      <w:marRight w:val="0"/>
      <w:marTop w:val="0"/>
      <w:marBottom w:val="0"/>
      <w:divBdr>
        <w:top w:val="none" w:sz="0" w:space="0" w:color="auto"/>
        <w:left w:val="none" w:sz="0" w:space="0" w:color="auto"/>
        <w:bottom w:val="none" w:sz="0" w:space="0" w:color="auto"/>
        <w:right w:val="none" w:sz="0" w:space="0" w:color="auto"/>
      </w:divBdr>
    </w:div>
    <w:div w:id="1929532253">
      <w:bodyDiv w:val="1"/>
      <w:marLeft w:val="0"/>
      <w:marRight w:val="0"/>
      <w:marTop w:val="0"/>
      <w:marBottom w:val="0"/>
      <w:divBdr>
        <w:top w:val="none" w:sz="0" w:space="0" w:color="auto"/>
        <w:left w:val="none" w:sz="0" w:space="0" w:color="auto"/>
        <w:bottom w:val="none" w:sz="0" w:space="0" w:color="auto"/>
        <w:right w:val="none" w:sz="0" w:space="0" w:color="auto"/>
      </w:divBdr>
    </w:div>
    <w:div w:id="1944418042">
      <w:bodyDiv w:val="1"/>
      <w:marLeft w:val="0"/>
      <w:marRight w:val="0"/>
      <w:marTop w:val="0"/>
      <w:marBottom w:val="0"/>
      <w:divBdr>
        <w:top w:val="none" w:sz="0" w:space="0" w:color="auto"/>
        <w:left w:val="none" w:sz="0" w:space="0" w:color="auto"/>
        <w:bottom w:val="none" w:sz="0" w:space="0" w:color="auto"/>
        <w:right w:val="none" w:sz="0" w:space="0" w:color="auto"/>
      </w:divBdr>
    </w:div>
    <w:div w:id="1950773037">
      <w:bodyDiv w:val="1"/>
      <w:marLeft w:val="0"/>
      <w:marRight w:val="0"/>
      <w:marTop w:val="0"/>
      <w:marBottom w:val="0"/>
      <w:divBdr>
        <w:top w:val="none" w:sz="0" w:space="0" w:color="auto"/>
        <w:left w:val="none" w:sz="0" w:space="0" w:color="auto"/>
        <w:bottom w:val="none" w:sz="0" w:space="0" w:color="auto"/>
        <w:right w:val="none" w:sz="0" w:space="0" w:color="auto"/>
      </w:divBdr>
    </w:div>
    <w:div w:id="1996685999">
      <w:bodyDiv w:val="1"/>
      <w:marLeft w:val="0"/>
      <w:marRight w:val="0"/>
      <w:marTop w:val="0"/>
      <w:marBottom w:val="0"/>
      <w:divBdr>
        <w:top w:val="none" w:sz="0" w:space="0" w:color="auto"/>
        <w:left w:val="none" w:sz="0" w:space="0" w:color="auto"/>
        <w:bottom w:val="none" w:sz="0" w:space="0" w:color="auto"/>
        <w:right w:val="none" w:sz="0" w:space="0" w:color="auto"/>
      </w:divBdr>
      <w:divsChild>
        <w:div w:id="10580905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therngasopendataportal.co.uk/dataset/8"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20/10/relationships/intelligence" Target="intelligence2.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502E00FA1C1B4C89F9101443A72B88" ma:contentTypeVersion="18" ma:contentTypeDescription="Create a new document." ma:contentTypeScope="" ma:versionID="9908690bce4ca079f95fcaf9401ce2bc">
  <xsd:schema xmlns:xsd="http://www.w3.org/2001/XMLSchema" xmlns:xs="http://www.w3.org/2001/XMLSchema" xmlns:p="http://schemas.microsoft.com/office/2006/metadata/properties" xmlns:ns2="41db0641-ff92-40d2-b058-31008171d03a" xmlns:ns3="2062f57c-acab-4609-9d50-7993031bca48" xmlns:ns4="51cf8364-04e3-4479-9259-5784e40240e8" targetNamespace="http://schemas.microsoft.com/office/2006/metadata/properties" ma:root="true" ma:fieldsID="f59662029f9d0efe6141fd1acd9f1a6e" ns2:_="" ns3:_="" ns4:_="">
    <xsd:import namespace="41db0641-ff92-40d2-b058-31008171d03a"/>
    <xsd:import namespace="2062f57c-acab-4609-9d50-7993031bca48"/>
    <xsd:import namespace="51cf8364-04e3-4479-9259-5784e40240e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db0641-ff92-40d2-b058-31008171d0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e6b00f1-0802-47ef-b924-4ebccd15082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062f57c-acab-4609-9d50-7993031bca4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cf8364-04e3-4479-9259-5784e40240e8"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ee849253-3855-4a7d-b694-1c93c05df4f2}" ma:internalName="TaxCatchAll" ma:showField="CatchAllData" ma:web="2062f57c-acab-4609-9d50-7993031bca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1db0641-ff92-40d2-b058-31008171d03a">
      <Terms xmlns="http://schemas.microsoft.com/office/infopath/2007/PartnerControls"/>
    </lcf76f155ced4ddcb4097134ff3c332f>
    <TaxCatchAll xmlns="51cf8364-04e3-4479-9259-5784e40240e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2858984-2834-436A-87C3-5F98EDE78C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db0641-ff92-40d2-b058-31008171d03a"/>
    <ds:schemaRef ds:uri="2062f57c-acab-4609-9d50-7993031bca48"/>
    <ds:schemaRef ds:uri="51cf8364-04e3-4479-9259-5784e40240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B904855-BBDF-4723-9FAC-9F8D8C1B499E}">
  <ds:schemaRefs>
    <ds:schemaRef ds:uri="http://schemas.microsoft.com/office/2006/metadata/properties"/>
    <ds:schemaRef ds:uri="http://schemas.microsoft.com/office/infopath/2007/PartnerControls"/>
    <ds:schemaRef ds:uri="41db0641-ff92-40d2-b058-31008171d03a"/>
    <ds:schemaRef ds:uri="51cf8364-04e3-4479-9259-5784e40240e8"/>
  </ds:schemaRefs>
</ds:datastoreItem>
</file>

<file path=customXml/itemProps3.xml><?xml version="1.0" encoding="utf-8"?>
<ds:datastoreItem xmlns:ds="http://schemas.openxmlformats.org/officeDocument/2006/customXml" ds:itemID="{528CDA9F-111E-4207-93A1-B7D662B9ED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4</Pages>
  <Words>1849</Words>
  <Characters>10541</Characters>
  <Application>Microsoft Office Word</Application>
  <DocSecurity>0</DocSecurity>
  <Lines>87</Lines>
  <Paragraphs>24</Paragraphs>
  <ScaleCrop>false</ScaleCrop>
  <Company/>
  <LinksUpToDate>false</LinksUpToDate>
  <CharactersWithSpaces>12366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Hollie Scott</dc:creator>
  <cp:keywords/>
  <dc:description/>
  <cp:lastModifiedBy>Hollie Scott</cp:lastModifiedBy>
  <cp:revision>89</cp:revision>
  <dcterms:created xsi:type="dcterms:W3CDTF">2025-01-30T09:04:00Z</dcterms:created>
  <dcterms:modified xsi:type="dcterms:W3CDTF">2025-02-11T13:51:00Z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0x01010048502E00FA1C1B4C89F9101443A72B88</vt:lpwstr>
  </property>
  <property fmtid="{D5CDD505-2E9C-101B-9397-08002B2CF9AE}" pid="3" name="MediaServiceImageTags">
    <vt:lpwstr/>
  </property>
</Properties>
</file>